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5A56" w14:textId="23D329F0" w:rsidR="00060EB4" w:rsidRPr="00262894" w:rsidRDefault="00060EB4" w:rsidP="00060EB4">
      <w:pPr>
        <w:pStyle w:val="Header"/>
        <w:jc w:val="center"/>
        <w:rPr>
          <w:rFonts w:ascii="Arial" w:hAnsi="Arial" w:cs="Arial"/>
          <w:color w:val="877952" w:themeColor="background2" w:themeShade="80"/>
          <w:sz w:val="64"/>
          <w:szCs w:val="64"/>
        </w:rPr>
      </w:pPr>
      <w:r w:rsidRPr="00262894">
        <w:rPr>
          <w:rFonts w:ascii="Arial" w:hAnsi="Arial" w:cs="Arial"/>
          <w:color w:val="877952" w:themeColor="background2" w:themeShade="80"/>
          <w:sz w:val="64"/>
          <w:szCs w:val="64"/>
        </w:rPr>
        <w:t xml:space="preserve">FHA Multifamily and </w:t>
      </w:r>
    </w:p>
    <w:p w14:paraId="358A4C8A" w14:textId="77777777" w:rsidR="00060EB4" w:rsidRPr="00262894" w:rsidRDefault="00060EB4" w:rsidP="00060EB4">
      <w:pPr>
        <w:pStyle w:val="Header"/>
        <w:spacing w:after="240"/>
        <w:jc w:val="center"/>
        <w:rPr>
          <w:rFonts w:ascii="Arial" w:hAnsi="Arial" w:cs="Arial"/>
          <w:color w:val="877952" w:themeColor="background2" w:themeShade="80"/>
          <w:sz w:val="64"/>
          <w:szCs w:val="64"/>
        </w:rPr>
      </w:pPr>
      <w:r w:rsidRPr="00262894">
        <w:rPr>
          <w:rFonts w:ascii="Arial" w:hAnsi="Arial" w:cs="Arial"/>
          <w:color w:val="877952" w:themeColor="background2" w:themeShade="80"/>
          <w:sz w:val="64"/>
          <w:szCs w:val="64"/>
        </w:rPr>
        <w:t>Davis-Bacon Wage Rates</w:t>
      </w:r>
    </w:p>
    <w:p w14:paraId="14214997" w14:textId="0DE1D8F2" w:rsidR="0048064F" w:rsidRPr="00943423" w:rsidRDefault="002000CF" w:rsidP="00D56039">
      <w:pPr>
        <w:spacing w:line="240" w:lineRule="auto"/>
        <w:rPr>
          <w:rFonts w:ascii="Arial" w:hAnsi="Arial" w:cs="Arial"/>
          <w:color w:val="14415C"/>
          <w:szCs w:val="21"/>
        </w:rPr>
      </w:pPr>
      <w:r w:rsidRPr="00943423">
        <w:rPr>
          <w:rFonts w:ascii="Arial" w:hAnsi="Arial" w:cs="Arial"/>
          <w:b/>
          <w:color w:val="14415C"/>
          <w:sz w:val="32"/>
          <w:szCs w:val="32"/>
        </w:rPr>
        <w:t>FHA-financed new construction and rehabilitation projects</w:t>
      </w:r>
      <w:r>
        <w:rPr>
          <w:rFonts w:ascii="Arial" w:hAnsi="Arial" w:cs="Arial"/>
          <w:b/>
          <w:color w:val="14415C"/>
          <w:sz w:val="32"/>
          <w:szCs w:val="32"/>
        </w:rPr>
        <w:t xml:space="preserve"> should be assigned </w:t>
      </w:r>
      <w:r w:rsidR="00104755">
        <w:rPr>
          <w:rFonts w:ascii="Arial" w:hAnsi="Arial" w:cs="Arial"/>
          <w:b/>
          <w:color w:val="14415C"/>
          <w:sz w:val="32"/>
          <w:szCs w:val="32"/>
        </w:rPr>
        <w:t xml:space="preserve">only </w:t>
      </w:r>
      <w:r>
        <w:rPr>
          <w:rFonts w:ascii="Arial" w:hAnsi="Arial" w:cs="Arial"/>
          <w:b/>
          <w:color w:val="14415C"/>
          <w:sz w:val="32"/>
          <w:szCs w:val="32"/>
        </w:rPr>
        <w:t xml:space="preserve">Residential </w:t>
      </w:r>
      <w:r w:rsidR="00104755">
        <w:rPr>
          <w:rFonts w:ascii="Arial" w:hAnsi="Arial" w:cs="Arial"/>
          <w:b/>
          <w:color w:val="14415C"/>
          <w:sz w:val="32"/>
          <w:szCs w:val="32"/>
        </w:rPr>
        <w:t xml:space="preserve">wage rates under the </w:t>
      </w:r>
      <w:r w:rsidR="0048064F" w:rsidRPr="00943423">
        <w:rPr>
          <w:rFonts w:ascii="Arial" w:hAnsi="Arial" w:cs="Arial"/>
          <w:b/>
          <w:color w:val="14415C"/>
          <w:sz w:val="32"/>
          <w:szCs w:val="32"/>
        </w:rPr>
        <w:t xml:space="preserve">Davis-Bacon </w:t>
      </w:r>
      <w:r w:rsidR="00104755">
        <w:rPr>
          <w:rFonts w:ascii="Arial" w:hAnsi="Arial" w:cs="Arial"/>
          <w:b/>
          <w:color w:val="14415C"/>
          <w:sz w:val="32"/>
          <w:szCs w:val="32"/>
        </w:rPr>
        <w:t>Act</w:t>
      </w:r>
      <w:r>
        <w:rPr>
          <w:rFonts w:ascii="Arial" w:hAnsi="Arial" w:cs="Arial"/>
          <w:b/>
          <w:color w:val="14415C"/>
          <w:sz w:val="32"/>
          <w:szCs w:val="32"/>
        </w:rPr>
        <w:t xml:space="preserve">. </w:t>
      </w:r>
    </w:p>
    <w:p w14:paraId="5C10E8B1" w14:textId="77777777" w:rsidR="006F3933" w:rsidRPr="0045534A" w:rsidRDefault="006F3933" w:rsidP="0045534A">
      <w:pPr>
        <w:pStyle w:val="Header1"/>
        <w:spacing w:before="0" w:after="160" w:line="240" w:lineRule="auto"/>
        <w:ind w:right="-158"/>
        <w:jc w:val="both"/>
        <w:rPr>
          <w:rFonts w:cs="Arial"/>
          <w:color w:val="948A54"/>
        </w:rPr>
      </w:pPr>
      <w:r w:rsidRPr="0045534A">
        <w:rPr>
          <w:rFonts w:cs="Arial"/>
          <w:color w:val="948A54"/>
        </w:rPr>
        <w:t>Background</w:t>
      </w:r>
    </w:p>
    <w:p w14:paraId="5FBF67F6" w14:textId="5B33A1C6" w:rsidR="00C8645C" w:rsidRPr="00FD5D79" w:rsidRDefault="004F0306" w:rsidP="003D61F4">
      <w:pPr>
        <w:spacing w:line="240" w:lineRule="auto"/>
        <w:jc w:val="both"/>
        <w:rPr>
          <w:rFonts w:ascii="Arial" w:hAnsi="Arial" w:cs="Arial"/>
        </w:rPr>
      </w:pPr>
      <w:r w:rsidRPr="00FD5D79">
        <w:rPr>
          <w:rFonts w:ascii="Arial" w:hAnsi="Arial" w:cs="Arial"/>
        </w:rPr>
        <w:t xml:space="preserve">The </w:t>
      </w:r>
      <w:r w:rsidR="000E5D1D">
        <w:rPr>
          <w:rFonts w:ascii="Arial" w:hAnsi="Arial" w:cs="Arial"/>
        </w:rPr>
        <w:t xml:space="preserve">method of applying </w:t>
      </w:r>
      <w:r w:rsidRPr="00FD5D79">
        <w:rPr>
          <w:rFonts w:ascii="Arial" w:hAnsi="Arial" w:cs="Arial"/>
        </w:rPr>
        <w:t xml:space="preserve">wage rates </w:t>
      </w:r>
      <w:r w:rsidR="002000CF">
        <w:rPr>
          <w:rFonts w:ascii="Arial" w:hAnsi="Arial" w:cs="Arial"/>
        </w:rPr>
        <w:t xml:space="preserve">under </w:t>
      </w:r>
      <w:r w:rsidR="00104755">
        <w:rPr>
          <w:rFonts w:ascii="Arial" w:hAnsi="Arial" w:cs="Arial"/>
        </w:rPr>
        <w:t xml:space="preserve">the </w:t>
      </w:r>
      <w:r w:rsidR="002000CF" w:rsidRPr="00FD5D79">
        <w:rPr>
          <w:rFonts w:ascii="Arial" w:hAnsi="Arial" w:cs="Arial"/>
        </w:rPr>
        <w:t>Davis-Bacon Act</w:t>
      </w:r>
      <w:r w:rsidR="002000CF">
        <w:rPr>
          <w:rFonts w:ascii="Arial" w:hAnsi="Arial" w:cs="Arial"/>
        </w:rPr>
        <w:t>s</w:t>
      </w:r>
      <w:r w:rsidR="002000CF" w:rsidRPr="00FD5D79">
        <w:rPr>
          <w:rFonts w:ascii="Arial" w:hAnsi="Arial" w:cs="Arial"/>
        </w:rPr>
        <w:t xml:space="preserve"> of 1931</w:t>
      </w:r>
      <w:r w:rsidR="002000CF">
        <w:rPr>
          <w:rFonts w:ascii="Arial" w:hAnsi="Arial" w:cs="Arial"/>
        </w:rPr>
        <w:t xml:space="preserve"> </w:t>
      </w:r>
      <w:r w:rsidR="00FC5534" w:rsidRPr="00FD5D79">
        <w:rPr>
          <w:rFonts w:ascii="Arial" w:hAnsi="Arial" w:cs="Arial"/>
        </w:rPr>
        <w:t xml:space="preserve">is </w:t>
      </w:r>
      <w:r w:rsidR="00FB6CC1" w:rsidRPr="00FD5D79">
        <w:rPr>
          <w:rFonts w:ascii="Arial" w:hAnsi="Arial" w:cs="Arial"/>
        </w:rPr>
        <w:t xml:space="preserve">critical to </w:t>
      </w:r>
      <w:r w:rsidR="00F462A2" w:rsidRPr="00FD5D79">
        <w:rPr>
          <w:rFonts w:ascii="Arial" w:hAnsi="Arial" w:cs="Arial"/>
        </w:rPr>
        <w:t>the viability of</w:t>
      </w:r>
      <w:r w:rsidR="00B23A29">
        <w:rPr>
          <w:rFonts w:ascii="Arial" w:hAnsi="Arial" w:cs="Arial"/>
        </w:rPr>
        <w:t xml:space="preserve"> Federal Housing Administration</w:t>
      </w:r>
      <w:r w:rsidR="00F462A2" w:rsidRPr="00FD5D79">
        <w:rPr>
          <w:rFonts w:ascii="Arial" w:hAnsi="Arial" w:cs="Arial"/>
        </w:rPr>
        <w:t xml:space="preserve"> </w:t>
      </w:r>
      <w:r w:rsidR="00B23A29">
        <w:rPr>
          <w:rFonts w:ascii="Arial" w:hAnsi="Arial" w:cs="Arial"/>
        </w:rPr>
        <w:t>(</w:t>
      </w:r>
      <w:r w:rsidR="00FB6CC1" w:rsidRPr="00FD5D79">
        <w:rPr>
          <w:rFonts w:ascii="Arial" w:hAnsi="Arial" w:cs="Arial"/>
        </w:rPr>
        <w:t>FHA</w:t>
      </w:r>
      <w:r w:rsidR="00B23A29">
        <w:rPr>
          <w:rFonts w:ascii="Arial" w:hAnsi="Arial" w:cs="Arial"/>
        </w:rPr>
        <w:t>)</w:t>
      </w:r>
      <w:r w:rsidR="00496BD6" w:rsidRPr="00FD5D79">
        <w:rPr>
          <w:rFonts w:ascii="Arial" w:hAnsi="Arial" w:cs="Arial"/>
        </w:rPr>
        <w:t xml:space="preserve"> </w:t>
      </w:r>
      <w:r w:rsidR="000F597E" w:rsidRPr="00FD5D79">
        <w:rPr>
          <w:rFonts w:ascii="Arial" w:hAnsi="Arial" w:cs="Arial"/>
        </w:rPr>
        <w:t xml:space="preserve">financing </w:t>
      </w:r>
      <w:r w:rsidR="009D439E" w:rsidRPr="00FD5D79">
        <w:rPr>
          <w:rFonts w:ascii="Arial" w:hAnsi="Arial" w:cs="Arial"/>
        </w:rPr>
        <w:t xml:space="preserve">for new construction </w:t>
      </w:r>
      <w:r w:rsidR="00B971AD" w:rsidRPr="00FD5D79">
        <w:rPr>
          <w:rFonts w:ascii="Arial" w:hAnsi="Arial" w:cs="Arial"/>
        </w:rPr>
        <w:t xml:space="preserve">or substantial rehabilitation </w:t>
      </w:r>
      <w:r w:rsidR="009D439E" w:rsidRPr="00FD5D79">
        <w:rPr>
          <w:rFonts w:ascii="Arial" w:hAnsi="Arial" w:cs="Arial"/>
        </w:rPr>
        <w:t xml:space="preserve">of </w:t>
      </w:r>
      <w:r w:rsidR="002B7B29" w:rsidRPr="00FD5D79">
        <w:rPr>
          <w:rFonts w:ascii="Arial" w:hAnsi="Arial" w:cs="Arial"/>
        </w:rPr>
        <w:t>m</w:t>
      </w:r>
      <w:r w:rsidR="00496BD6" w:rsidRPr="00FD5D79">
        <w:rPr>
          <w:rFonts w:ascii="Arial" w:hAnsi="Arial" w:cs="Arial"/>
        </w:rPr>
        <w:t>ultifamily and</w:t>
      </w:r>
      <w:r w:rsidR="009D439E" w:rsidRPr="00FD5D79">
        <w:rPr>
          <w:rFonts w:ascii="Arial" w:hAnsi="Arial" w:cs="Arial"/>
        </w:rPr>
        <w:t xml:space="preserve"> </w:t>
      </w:r>
      <w:r w:rsidR="002B7B29" w:rsidRPr="00FD5D79">
        <w:rPr>
          <w:rFonts w:ascii="Arial" w:hAnsi="Arial" w:cs="Arial"/>
        </w:rPr>
        <w:t>r</w:t>
      </w:r>
      <w:r w:rsidR="009D439E" w:rsidRPr="00FD5D79">
        <w:rPr>
          <w:rFonts w:ascii="Arial" w:hAnsi="Arial" w:cs="Arial"/>
        </w:rPr>
        <w:t>esidential</w:t>
      </w:r>
      <w:r w:rsidR="00496BD6" w:rsidRPr="00FD5D79">
        <w:rPr>
          <w:rFonts w:ascii="Arial" w:hAnsi="Arial" w:cs="Arial"/>
        </w:rPr>
        <w:t xml:space="preserve"> </w:t>
      </w:r>
      <w:r w:rsidR="002B7B29" w:rsidRPr="00FD5D79">
        <w:rPr>
          <w:rFonts w:ascii="Arial" w:hAnsi="Arial" w:cs="Arial"/>
        </w:rPr>
        <w:t>h</w:t>
      </w:r>
      <w:r w:rsidR="00496BD6" w:rsidRPr="00FD5D79">
        <w:rPr>
          <w:rFonts w:ascii="Arial" w:hAnsi="Arial" w:cs="Arial"/>
        </w:rPr>
        <w:t xml:space="preserve">ealthcare </w:t>
      </w:r>
      <w:r w:rsidR="009D439E" w:rsidRPr="00FD5D79">
        <w:rPr>
          <w:rFonts w:ascii="Arial" w:hAnsi="Arial" w:cs="Arial"/>
        </w:rPr>
        <w:t>properties</w:t>
      </w:r>
      <w:r w:rsidR="006F580C" w:rsidRPr="00FD5D79">
        <w:rPr>
          <w:rFonts w:ascii="Arial" w:hAnsi="Arial" w:cs="Arial"/>
        </w:rPr>
        <w:t xml:space="preserve">. </w:t>
      </w:r>
    </w:p>
    <w:p w14:paraId="23B9B7EE" w14:textId="77777777" w:rsidR="00C63BD2" w:rsidRPr="00FD5D79" w:rsidRDefault="00C63BD2" w:rsidP="00D56039">
      <w:pPr>
        <w:spacing w:line="240" w:lineRule="auto"/>
        <w:rPr>
          <w:rFonts w:ascii="Arial" w:hAnsi="Arial" w:cs="Arial"/>
          <w:b/>
          <w:color w:val="000000" w:themeColor="text1"/>
        </w:rPr>
      </w:pPr>
      <w:r w:rsidRPr="00FD5D79">
        <w:rPr>
          <w:rFonts w:ascii="Arial" w:hAnsi="Arial" w:cs="Arial"/>
          <w:b/>
          <w:color w:val="000000" w:themeColor="text1"/>
        </w:rPr>
        <w:t>Importance of FHA Multifamily construction lending and development</w:t>
      </w:r>
    </w:p>
    <w:p w14:paraId="26D1DEDC" w14:textId="25FE72C4" w:rsidR="00C63BD2" w:rsidRPr="00FD5D79" w:rsidRDefault="00C63BD2" w:rsidP="003D61F4">
      <w:pPr>
        <w:spacing w:line="240" w:lineRule="auto"/>
        <w:jc w:val="both"/>
        <w:rPr>
          <w:rFonts w:ascii="Arial" w:hAnsi="Arial" w:cs="Arial"/>
        </w:rPr>
      </w:pPr>
      <w:r w:rsidRPr="00FD5D79">
        <w:rPr>
          <w:rFonts w:ascii="Arial" w:hAnsi="Arial" w:cs="Arial"/>
        </w:rPr>
        <w:t>The FHA Multifamily program has been vital to supporting affordable and workforce rental housing. The historic</w:t>
      </w:r>
      <w:r w:rsidR="000267C9">
        <w:rPr>
          <w:rFonts w:ascii="Arial" w:hAnsi="Arial" w:cs="Arial"/>
        </w:rPr>
        <w:t>al</w:t>
      </w:r>
      <w:r w:rsidRPr="00FD5D79">
        <w:rPr>
          <w:rFonts w:ascii="Arial" w:hAnsi="Arial" w:cs="Arial"/>
        </w:rPr>
        <w:t xml:space="preserve"> strength of FHA mortgage insurance programs rests in the capability of borrowers to obtain a seamless construction-to-permanent loan financing – a feature unique in the multifamily finance market. Competitive pricing for the loan is possible due to the safety of a Government National Mortgage Association (Ginnie Mae) security backed by an FHA-insured mortgage loan. Significantly, these programs have maintained strong credit performance.</w:t>
      </w:r>
    </w:p>
    <w:p w14:paraId="0D771BD5" w14:textId="77777777" w:rsidR="007847DD" w:rsidRPr="00FD5D79" w:rsidRDefault="00A76AAB" w:rsidP="003D61F4">
      <w:pPr>
        <w:spacing w:line="240" w:lineRule="auto"/>
        <w:jc w:val="both"/>
        <w:rPr>
          <w:rFonts w:ascii="Arial" w:hAnsi="Arial" w:cs="Arial"/>
          <w:b/>
          <w:color w:val="000000" w:themeColor="text1"/>
        </w:rPr>
      </w:pPr>
      <w:r w:rsidRPr="00FD5D79">
        <w:rPr>
          <w:rFonts w:ascii="Arial" w:hAnsi="Arial" w:cs="Arial"/>
          <w:b/>
          <w:color w:val="000000" w:themeColor="text1"/>
        </w:rPr>
        <w:t>The</w:t>
      </w:r>
      <w:r w:rsidR="007847DD" w:rsidRPr="00FD5D79">
        <w:rPr>
          <w:rFonts w:ascii="Arial" w:hAnsi="Arial" w:cs="Arial"/>
          <w:b/>
          <w:color w:val="000000" w:themeColor="text1"/>
        </w:rPr>
        <w:t xml:space="preserve"> </w:t>
      </w:r>
      <w:r w:rsidR="00164846" w:rsidRPr="00FD5D79">
        <w:rPr>
          <w:rFonts w:ascii="Arial" w:hAnsi="Arial" w:cs="Arial"/>
          <w:b/>
          <w:color w:val="000000" w:themeColor="text1"/>
        </w:rPr>
        <w:t>Davis-Bacon Act</w:t>
      </w:r>
      <w:r w:rsidR="00445F15" w:rsidRPr="00FD5D79">
        <w:rPr>
          <w:rFonts w:ascii="Arial" w:hAnsi="Arial" w:cs="Arial"/>
          <w:b/>
          <w:color w:val="000000" w:themeColor="text1"/>
        </w:rPr>
        <w:t xml:space="preserve"> </w:t>
      </w:r>
      <w:r w:rsidR="00621588" w:rsidRPr="00FD5D79">
        <w:rPr>
          <w:rFonts w:ascii="Arial" w:hAnsi="Arial" w:cs="Arial"/>
          <w:b/>
          <w:color w:val="000000" w:themeColor="text1"/>
        </w:rPr>
        <w:t>and applicability to</w:t>
      </w:r>
      <w:r w:rsidR="00445F15" w:rsidRPr="00FD5D79">
        <w:rPr>
          <w:rFonts w:ascii="Arial" w:hAnsi="Arial" w:cs="Arial"/>
          <w:b/>
          <w:color w:val="000000" w:themeColor="text1"/>
        </w:rPr>
        <w:t xml:space="preserve"> FHA</w:t>
      </w:r>
      <w:r w:rsidRPr="00FD5D79">
        <w:rPr>
          <w:rFonts w:ascii="Arial" w:hAnsi="Arial" w:cs="Arial"/>
          <w:b/>
          <w:color w:val="000000" w:themeColor="text1"/>
        </w:rPr>
        <w:t>-financed projects</w:t>
      </w:r>
    </w:p>
    <w:p w14:paraId="26C6F92E" w14:textId="3399FD47" w:rsidR="00C8645C" w:rsidRDefault="00E60842" w:rsidP="003D61F4">
      <w:pPr>
        <w:spacing w:line="240" w:lineRule="auto"/>
        <w:jc w:val="both"/>
        <w:rPr>
          <w:rFonts w:ascii="Arial" w:hAnsi="Arial" w:cs="Arial"/>
        </w:rPr>
      </w:pPr>
      <w:r w:rsidRPr="00FD5D79">
        <w:rPr>
          <w:rFonts w:ascii="Arial" w:hAnsi="Arial" w:cs="Arial"/>
        </w:rPr>
        <w:t>T</w:t>
      </w:r>
      <w:r w:rsidR="004F0306" w:rsidRPr="00FD5D79">
        <w:rPr>
          <w:rFonts w:ascii="Arial" w:hAnsi="Arial" w:cs="Arial"/>
        </w:rPr>
        <w:t>he Davis-</w:t>
      </w:r>
      <w:r w:rsidR="002E31A9" w:rsidRPr="00FD5D79">
        <w:rPr>
          <w:rFonts w:ascii="Arial" w:hAnsi="Arial" w:cs="Arial"/>
        </w:rPr>
        <w:t>Bacon Act require</w:t>
      </w:r>
      <w:r w:rsidR="00D66621" w:rsidRPr="00FD5D79">
        <w:rPr>
          <w:rFonts w:ascii="Arial" w:hAnsi="Arial" w:cs="Arial"/>
        </w:rPr>
        <w:t xml:space="preserve">s </w:t>
      </w:r>
      <w:r w:rsidR="002F7715" w:rsidRPr="00FD5D79">
        <w:rPr>
          <w:rFonts w:ascii="Arial" w:hAnsi="Arial" w:cs="Arial"/>
        </w:rPr>
        <w:t>the</w:t>
      </w:r>
      <w:r w:rsidR="00CE4FA2" w:rsidRPr="00FD5D79">
        <w:rPr>
          <w:rFonts w:ascii="Arial" w:hAnsi="Arial" w:cs="Arial"/>
        </w:rPr>
        <w:t xml:space="preserve"> </w:t>
      </w:r>
      <w:r w:rsidR="002E31A9" w:rsidRPr="00FD5D79">
        <w:rPr>
          <w:rFonts w:ascii="Arial" w:hAnsi="Arial" w:cs="Arial"/>
        </w:rPr>
        <w:t>pay</w:t>
      </w:r>
      <w:r w:rsidR="002F7715" w:rsidRPr="00FD5D79">
        <w:rPr>
          <w:rFonts w:ascii="Arial" w:hAnsi="Arial" w:cs="Arial"/>
        </w:rPr>
        <w:t>ment of</w:t>
      </w:r>
      <w:r w:rsidR="002E31A9" w:rsidRPr="00FD5D79">
        <w:rPr>
          <w:rFonts w:ascii="Arial" w:hAnsi="Arial" w:cs="Arial"/>
        </w:rPr>
        <w:t xml:space="preserve"> </w:t>
      </w:r>
      <w:r w:rsidR="00F462A2" w:rsidRPr="00FD5D79">
        <w:rPr>
          <w:rFonts w:ascii="Arial" w:hAnsi="Arial" w:cs="Arial"/>
        </w:rPr>
        <w:t xml:space="preserve">wages that </w:t>
      </w:r>
      <w:r w:rsidR="002E31A9" w:rsidRPr="00FD5D79">
        <w:rPr>
          <w:rFonts w:ascii="Arial" w:hAnsi="Arial" w:cs="Arial"/>
          <w:i/>
        </w:rPr>
        <w:t>prevail</w:t>
      </w:r>
      <w:r w:rsidR="00F462A2" w:rsidRPr="00FD5D79">
        <w:rPr>
          <w:rFonts w:ascii="Arial" w:hAnsi="Arial" w:cs="Arial"/>
          <w:i/>
        </w:rPr>
        <w:t xml:space="preserve"> </w:t>
      </w:r>
      <w:r w:rsidR="002E31A9" w:rsidRPr="00FD5D79">
        <w:rPr>
          <w:rFonts w:ascii="Arial" w:hAnsi="Arial" w:cs="Arial"/>
          <w:i/>
        </w:rPr>
        <w:t>in</w:t>
      </w:r>
      <w:r w:rsidR="0058130F" w:rsidRPr="00FD5D79">
        <w:rPr>
          <w:rFonts w:ascii="Arial" w:hAnsi="Arial" w:cs="Arial"/>
          <w:i/>
        </w:rPr>
        <w:t xml:space="preserve"> the locality on projects of a character </w:t>
      </w:r>
      <w:proofErr w:type="gramStart"/>
      <w:r w:rsidR="0058130F" w:rsidRPr="00FD5D79">
        <w:rPr>
          <w:rFonts w:ascii="Arial" w:hAnsi="Arial" w:cs="Arial"/>
          <w:i/>
        </w:rPr>
        <w:t>similar to</w:t>
      </w:r>
      <w:proofErr w:type="gramEnd"/>
      <w:r w:rsidR="0058130F" w:rsidRPr="00FD5D79">
        <w:rPr>
          <w:rFonts w:ascii="Arial" w:hAnsi="Arial" w:cs="Arial"/>
          <w:i/>
        </w:rPr>
        <w:t xml:space="preserve"> the work that will be performed</w:t>
      </w:r>
      <w:r w:rsidR="002F7715" w:rsidRPr="00FD5D79">
        <w:rPr>
          <w:rFonts w:ascii="Arial" w:hAnsi="Arial" w:cs="Arial"/>
          <w:i/>
        </w:rPr>
        <w:t xml:space="preserve"> on direct federal contracts</w:t>
      </w:r>
      <w:r w:rsidR="00A01CFC" w:rsidRPr="00FD5D79">
        <w:rPr>
          <w:rFonts w:ascii="Arial" w:hAnsi="Arial" w:cs="Arial"/>
        </w:rPr>
        <w:t xml:space="preserve">. </w:t>
      </w:r>
      <w:r w:rsidR="00CD44DE" w:rsidRPr="00FD5D79">
        <w:rPr>
          <w:rFonts w:ascii="Arial" w:hAnsi="Arial" w:cs="Arial"/>
        </w:rPr>
        <w:t>The National Housing Act (</w:t>
      </w:r>
      <w:r w:rsidR="00BF75ED" w:rsidRPr="00FD5D79">
        <w:rPr>
          <w:rFonts w:ascii="Arial" w:hAnsi="Arial" w:cs="Arial"/>
        </w:rPr>
        <w:t>§</w:t>
      </w:r>
      <w:r w:rsidR="00CD44DE" w:rsidRPr="00FD5D79">
        <w:rPr>
          <w:rFonts w:ascii="Arial" w:hAnsi="Arial" w:cs="Arial"/>
        </w:rPr>
        <w:t xml:space="preserve"> 212) </w:t>
      </w:r>
      <w:r w:rsidR="00610B00" w:rsidRPr="00FD5D79">
        <w:rPr>
          <w:rFonts w:ascii="Arial" w:hAnsi="Arial" w:cs="Arial"/>
        </w:rPr>
        <w:t>requires</w:t>
      </w:r>
      <w:r w:rsidR="00CD44DE" w:rsidRPr="00FD5D79">
        <w:rPr>
          <w:rFonts w:ascii="Arial" w:hAnsi="Arial" w:cs="Arial"/>
        </w:rPr>
        <w:t xml:space="preserve"> Davis-Bacon </w:t>
      </w:r>
      <w:r w:rsidR="00610B00" w:rsidRPr="00FD5D79">
        <w:rPr>
          <w:rFonts w:ascii="Arial" w:hAnsi="Arial" w:cs="Arial"/>
        </w:rPr>
        <w:t>compliance on multifamily projects assisted with FHA mortgage insurance</w:t>
      </w:r>
      <w:r w:rsidR="00B759D2" w:rsidRPr="00FD5D79">
        <w:rPr>
          <w:rFonts w:ascii="Arial" w:hAnsi="Arial" w:cs="Arial"/>
        </w:rPr>
        <w:t xml:space="preserve"> under</w:t>
      </w:r>
      <w:r w:rsidR="00610B00" w:rsidRPr="00FD5D79">
        <w:rPr>
          <w:rFonts w:ascii="Arial" w:hAnsi="Arial" w:cs="Arial"/>
        </w:rPr>
        <w:t xml:space="preserve"> Sections 221, 232 and 241</w:t>
      </w:r>
      <w:r w:rsidR="000C6419" w:rsidRPr="00FD5D79">
        <w:rPr>
          <w:rFonts w:ascii="Arial" w:hAnsi="Arial" w:cs="Arial"/>
        </w:rPr>
        <w:t>.</w:t>
      </w:r>
    </w:p>
    <w:p w14:paraId="019280EF" w14:textId="77777777" w:rsidR="002000CF" w:rsidRPr="00FD5D79" w:rsidRDefault="002000CF" w:rsidP="003D61F4">
      <w:pPr>
        <w:spacing w:line="240" w:lineRule="auto"/>
        <w:jc w:val="both"/>
        <w:rPr>
          <w:rFonts w:ascii="Arial" w:hAnsi="Arial" w:cs="Arial"/>
          <w:b/>
          <w:color w:val="000000" w:themeColor="text1"/>
        </w:rPr>
      </w:pPr>
      <w:r w:rsidRPr="00FD5D79">
        <w:rPr>
          <w:rFonts w:ascii="Arial" w:hAnsi="Arial" w:cs="Arial"/>
          <w:b/>
          <w:color w:val="000000" w:themeColor="text1"/>
        </w:rPr>
        <w:t>Administration of the Davis-Bacon Act</w:t>
      </w:r>
    </w:p>
    <w:p w14:paraId="6C690712" w14:textId="143A1B2E" w:rsidR="002000CF" w:rsidRPr="00FD5D79" w:rsidRDefault="00104755" w:rsidP="003D61F4">
      <w:pPr>
        <w:spacing w:line="240" w:lineRule="auto"/>
        <w:jc w:val="both"/>
        <w:rPr>
          <w:rFonts w:ascii="Arial" w:hAnsi="Arial" w:cs="Arial"/>
          <w:i/>
        </w:rPr>
      </w:pPr>
      <w:r>
        <w:rPr>
          <w:rFonts w:ascii="Arial" w:hAnsi="Arial" w:cs="Arial"/>
        </w:rPr>
        <w:t xml:space="preserve">The Wage and Hour Division (WHD) of the Department of Labor (DOL) </w:t>
      </w:r>
      <w:r w:rsidR="002000CF">
        <w:rPr>
          <w:rFonts w:ascii="Arial" w:hAnsi="Arial" w:cs="Arial"/>
        </w:rPr>
        <w:t>p</w:t>
      </w:r>
      <w:r w:rsidR="002000CF" w:rsidRPr="00FD5D79">
        <w:rPr>
          <w:rFonts w:ascii="Arial" w:hAnsi="Arial" w:cs="Arial"/>
        </w:rPr>
        <w:t xml:space="preserve">rescribes standards and procedures for federal agencies that administer programs subject to Davis-Bacon requirements. HUD’s Office of Field Policy and Management/Davis-Bacon and Labor Standards Division </w:t>
      </w:r>
      <w:r w:rsidR="002000CF" w:rsidRPr="00214852">
        <w:t>(</w:t>
      </w:r>
      <w:r w:rsidR="002000CF" w:rsidRPr="00214852">
        <w:rPr>
          <w:rFonts w:ascii="Arial" w:hAnsi="Arial" w:cs="Arial"/>
        </w:rPr>
        <w:t>DBLS</w:t>
      </w:r>
      <w:r w:rsidR="002000CF" w:rsidRPr="00FD5D79">
        <w:rPr>
          <w:rFonts w:ascii="Arial" w:hAnsi="Arial" w:cs="Arial"/>
        </w:rPr>
        <w:t>)</w:t>
      </w:r>
      <w:r w:rsidR="002000CF" w:rsidRPr="00FD5D79" w:rsidDel="006D05D9">
        <w:rPr>
          <w:rFonts w:ascii="Arial" w:hAnsi="Arial" w:cs="Arial"/>
        </w:rPr>
        <w:t xml:space="preserve"> </w:t>
      </w:r>
      <w:r w:rsidR="002000CF" w:rsidRPr="00FD5D79">
        <w:rPr>
          <w:rFonts w:ascii="Arial" w:hAnsi="Arial" w:cs="Arial"/>
        </w:rPr>
        <w:t xml:space="preserve">administers and enforces Davis-Bacon requirements at HUD. </w:t>
      </w:r>
    </w:p>
    <w:p w14:paraId="6304AEB9" w14:textId="095558D9" w:rsidR="00376A0E" w:rsidRPr="00376A0E" w:rsidRDefault="00376A0E" w:rsidP="00D56039">
      <w:pPr>
        <w:jc w:val="both"/>
        <w:rPr>
          <w:rFonts w:ascii="Arial" w:hAnsi="Arial" w:cs="Arial"/>
          <w:b/>
          <w:bCs/>
        </w:rPr>
      </w:pPr>
      <w:r w:rsidRPr="00376A0E">
        <w:rPr>
          <w:rFonts w:ascii="Arial" w:hAnsi="Arial" w:cs="Arial"/>
          <w:b/>
          <w:bCs/>
        </w:rPr>
        <w:t>The “split-wage” problem</w:t>
      </w:r>
    </w:p>
    <w:p w14:paraId="42D0E4A6" w14:textId="77777777" w:rsidR="006D0026" w:rsidRDefault="006D0026" w:rsidP="006D0026">
      <w:pPr>
        <w:jc w:val="both"/>
        <w:rPr>
          <w:rFonts w:ascii="Arial" w:hAnsi="Arial" w:cs="Arial"/>
        </w:rPr>
      </w:pPr>
      <w:r>
        <w:rPr>
          <w:rFonts w:ascii="Arial" w:hAnsi="Arial" w:cs="Arial"/>
        </w:rPr>
        <w:t xml:space="preserve">Split-wage decisions continue to make many FHA-financed multifamily projects more expensive and more cumbersome to manage. </w:t>
      </w:r>
    </w:p>
    <w:p w14:paraId="3099D61B" w14:textId="20612E28" w:rsidR="00C63BD2" w:rsidRDefault="00C63BD2" w:rsidP="003D61F4">
      <w:pPr>
        <w:spacing w:line="240" w:lineRule="auto"/>
        <w:jc w:val="both"/>
        <w:rPr>
          <w:rFonts w:ascii="Arial" w:hAnsi="Arial" w:cs="Arial"/>
        </w:rPr>
      </w:pPr>
      <w:r>
        <w:rPr>
          <w:rFonts w:ascii="Arial" w:hAnsi="Arial" w:cs="Arial"/>
        </w:rPr>
        <w:t xml:space="preserve">Under All Agency Memoranda (AAMs) issued by </w:t>
      </w:r>
      <w:r w:rsidR="00104755">
        <w:rPr>
          <w:rFonts w:ascii="Arial" w:hAnsi="Arial" w:cs="Arial"/>
        </w:rPr>
        <w:t>WHD</w:t>
      </w:r>
      <w:r>
        <w:rPr>
          <w:rFonts w:ascii="Arial" w:hAnsi="Arial" w:cs="Arial"/>
        </w:rPr>
        <w:t>, there are four different categories of wage rate that may apply under David-Bacon: Building, Residential, Highway, and Heavy.</w:t>
      </w:r>
    </w:p>
    <w:p w14:paraId="5ADFFD41" w14:textId="25DC8351" w:rsidR="00376A0E" w:rsidRPr="00376A0E" w:rsidRDefault="00376A0E" w:rsidP="00D56039">
      <w:pPr>
        <w:jc w:val="both"/>
        <w:rPr>
          <w:rFonts w:ascii="Arial" w:hAnsi="Arial" w:cs="Arial"/>
        </w:rPr>
      </w:pPr>
      <w:r w:rsidRPr="00376A0E">
        <w:rPr>
          <w:rFonts w:ascii="Arial" w:hAnsi="Arial" w:cs="Arial"/>
        </w:rPr>
        <w:t xml:space="preserve">Historically, FHA multifamily projects were generally assigned </w:t>
      </w:r>
      <w:r>
        <w:rPr>
          <w:rFonts w:ascii="Arial" w:hAnsi="Arial" w:cs="Arial"/>
        </w:rPr>
        <w:t xml:space="preserve">only </w:t>
      </w:r>
      <w:r w:rsidRPr="00376A0E">
        <w:rPr>
          <w:rFonts w:ascii="Arial" w:hAnsi="Arial" w:cs="Arial"/>
        </w:rPr>
        <w:t>Residential wage rates, consistent with the inherently residential nature of those projects. However, o</w:t>
      </w:r>
      <w:r>
        <w:rPr>
          <w:rFonts w:ascii="Arial" w:hAnsi="Arial" w:cs="Arial"/>
        </w:rPr>
        <w:t>ver</w:t>
      </w:r>
      <w:r w:rsidRPr="00376A0E">
        <w:rPr>
          <w:rFonts w:ascii="Arial" w:hAnsi="Arial" w:cs="Arial"/>
        </w:rPr>
        <w:t xml:space="preserve"> time, WHD </w:t>
      </w:r>
      <w:r w:rsidRPr="00376A0E">
        <w:rPr>
          <w:rFonts w:ascii="Arial" w:hAnsi="Arial" w:cs="Arial"/>
        </w:rPr>
        <w:lastRenderedPageBreak/>
        <w:t>increasingly assigned other wage rate types</w:t>
      </w:r>
      <w:r w:rsidR="00104755" w:rsidRPr="00104755">
        <w:rPr>
          <w:rFonts w:ascii="Arial" w:hAnsi="Arial" w:cs="Arial"/>
        </w:rPr>
        <w:t xml:space="preserve"> </w:t>
      </w:r>
      <w:r w:rsidR="00104755" w:rsidRPr="00376A0E">
        <w:rPr>
          <w:rFonts w:ascii="Arial" w:hAnsi="Arial" w:cs="Arial"/>
        </w:rPr>
        <w:t xml:space="preserve">to some </w:t>
      </w:r>
      <w:r w:rsidR="00104755">
        <w:rPr>
          <w:rFonts w:ascii="Arial" w:hAnsi="Arial" w:cs="Arial"/>
        </w:rPr>
        <w:t xml:space="preserve">items of construction, e.g., Building, Highway, or Heavy </w:t>
      </w:r>
      <w:r w:rsidR="00CC4665">
        <w:rPr>
          <w:rFonts w:ascii="Arial" w:hAnsi="Arial" w:cs="Arial"/>
        </w:rPr>
        <w:t>(“split-wages”)</w:t>
      </w:r>
      <w:r w:rsidR="00104755">
        <w:rPr>
          <w:rFonts w:ascii="Arial" w:hAnsi="Arial" w:cs="Arial"/>
        </w:rPr>
        <w:t>.</w:t>
      </w:r>
      <w:r w:rsidR="00CC4665">
        <w:rPr>
          <w:rFonts w:ascii="Arial" w:hAnsi="Arial" w:cs="Arial"/>
        </w:rPr>
        <w:t xml:space="preserve"> </w:t>
      </w:r>
      <w:r>
        <w:rPr>
          <w:rFonts w:ascii="Arial" w:hAnsi="Arial" w:cs="Arial"/>
        </w:rPr>
        <w:t xml:space="preserve">where those </w:t>
      </w:r>
      <w:r w:rsidR="00104755">
        <w:rPr>
          <w:rFonts w:ascii="Arial" w:hAnsi="Arial" w:cs="Arial"/>
        </w:rPr>
        <w:t xml:space="preserve">items of </w:t>
      </w:r>
      <w:r>
        <w:rPr>
          <w:rFonts w:ascii="Arial" w:hAnsi="Arial" w:cs="Arial"/>
        </w:rPr>
        <w:t xml:space="preserve">construction were deemed to be “substantial.”  </w:t>
      </w:r>
      <w:r w:rsidRPr="00376A0E">
        <w:rPr>
          <w:rFonts w:ascii="Arial" w:hAnsi="Arial" w:cs="Arial"/>
        </w:rPr>
        <w:t xml:space="preserve"> </w:t>
      </w:r>
    </w:p>
    <w:p w14:paraId="0C173E1B" w14:textId="3522C7C2" w:rsidR="00C63BD2" w:rsidRPr="00376A0E" w:rsidRDefault="00C63BD2" w:rsidP="00D56039">
      <w:pPr>
        <w:jc w:val="both"/>
        <w:rPr>
          <w:rFonts w:ascii="Arial" w:hAnsi="Arial" w:cs="Arial"/>
        </w:rPr>
      </w:pPr>
      <w:r>
        <w:rPr>
          <w:rFonts w:ascii="Arial" w:hAnsi="Arial" w:cs="Arial"/>
        </w:rPr>
        <w:t xml:space="preserve">The standard for when items of work are “substantial” and should be assigned non-Residential wage rates was </w:t>
      </w:r>
      <w:r w:rsidR="006D0026">
        <w:rPr>
          <w:rFonts w:ascii="Arial" w:hAnsi="Arial" w:cs="Arial"/>
        </w:rPr>
        <w:t xml:space="preserve">raised in 2019 to </w:t>
      </w:r>
      <w:r w:rsidR="00104755">
        <w:rPr>
          <w:rFonts w:ascii="Arial" w:hAnsi="Arial" w:cs="Arial"/>
        </w:rPr>
        <w:t>a construction cost of</w:t>
      </w:r>
      <w:r>
        <w:rPr>
          <w:rFonts w:ascii="Arial" w:hAnsi="Arial" w:cs="Arial"/>
        </w:rPr>
        <w:t xml:space="preserve"> </w:t>
      </w:r>
      <w:r w:rsidR="006D0026">
        <w:rPr>
          <w:rFonts w:ascii="Arial" w:hAnsi="Arial" w:cs="Arial"/>
        </w:rPr>
        <w:t xml:space="preserve">$2.5 million or 20 percent of the project cost. </w:t>
      </w:r>
      <w:r>
        <w:rPr>
          <w:rFonts w:ascii="Arial" w:hAnsi="Arial" w:cs="Arial"/>
        </w:rPr>
        <w:t>T</w:t>
      </w:r>
      <w:r w:rsidR="00104755">
        <w:rPr>
          <w:rFonts w:ascii="Arial" w:hAnsi="Arial" w:cs="Arial"/>
        </w:rPr>
        <w:t>o apply this standard, t</w:t>
      </w:r>
      <w:r>
        <w:rPr>
          <w:rFonts w:ascii="Arial" w:hAnsi="Arial" w:cs="Arial"/>
        </w:rPr>
        <w:t>he WHD has directed HUD to “bucket” multiple items of work of similar character to determine whether that work is sufficiently “substantial” to warrant a non-Residential wage rate.</w:t>
      </w:r>
      <w:r w:rsidR="006D0026" w:rsidRPr="006D0026">
        <w:rPr>
          <w:rFonts w:ascii="Arial" w:hAnsi="Arial" w:cs="Arial"/>
        </w:rPr>
        <w:t xml:space="preserve"> </w:t>
      </w:r>
      <w:r w:rsidR="006D0026">
        <w:rPr>
          <w:rFonts w:ascii="Arial" w:hAnsi="Arial" w:cs="Arial"/>
        </w:rPr>
        <w:t>This threshold should be raised again.</w:t>
      </w:r>
    </w:p>
    <w:p w14:paraId="2CC3570F" w14:textId="0B226D76" w:rsidR="003D61F4" w:rsidRDefault="003D61F4" w:rsidP="003D61F4">
      <w:pPr>
        <w:spacing w:line="240" w:lineRule="auto"/>
        <w:jc w:val="both"/>
        <w:rPr>
          <w:rFonts w:ascii="Arial" w:hAnsi="Arial" w:cs="Arial"/>
        </w:rPr>
      </w:pPr>
      <w:r>
        <w:rPr>
          <w:rFonts w:ascii="Arial" w:hAnsi="Arial" w:cs="Arial"/>
        </w:rPr>
        <w:t>The resulting s</w:t>
      </w:r>
      <w:r w:rsidRPr="00FD5D79">
        <w:rPr>
          <w:rFonts w:ascii="Arial" w:hAnsi="Arial" w:cs="Arial"/>
        </w:rPr>
        <w:t xml:space="preserve">plit-wage determinations for residential housing projects </w:t>
      </w:r>
      <w:r>
        <w:rPr>
          <w:rFonts w:ascii="Arial" w:hAnsi="Arial" w:cs="Arial"/>
        </w:rPr>
        <w:t xml:space="preserve">have </w:t>
      </w:r>
      <w:r w:rsidRPr="00FD5D79">
        <w:rPr>
          <w:rFonts w:ascii="Arial" w:hAnsi="Arial" w:cs="Arial"/>
        </w:rPr>
        <w:t>create</w:t>
      </w:r>
      <w:r>
        <w:rPr>
          <w:rFonts w:ascii="Arial" w:hAnsi="Arial" w:cs="Arial"/>
        </w:rPr>
        <w:t>d</w:t>
      </w:r>
      <w:r w:rsidRPr="00FD5D79">
        <w:rPr>
          <w:rFonts w:ascii="Arial" w:hAnsi="Arial" w:cs="Arial"/>
        </w:rPr>
        <w:t xml:space="preserve"> significant administrative burden and complexity. For example, a split-wage decision may require a developer to pay workers different wages to perform identical work, depending upon where on the project they perform that work. Moreover, disparate components of work on a residential project often cannot be neatly separated from one another, and the differences between wage rates across categories can be substantial. In some cases, the resulting administrative burden and disruption can make a project infeasible after a developer has expended significant amounts of time, effort</w:t>
      </w:r>
      <w:r>
        <w:rPr>
          <w:rFonts w:ascii="Arial" w:hAnsi="Arial" w:cs="Arial"/>
        </w:rPr>
        <w:t>,</w:t>
      </w:r>
      <w:r w:rsidRPr="00FD5D79">
        <w:rPr>
          <w:rFonts w:ascii="Arial" w:hAnsi="Arial" w:cs="Arial"/>
        </w:rPr>
        <w:t xml:space="preserve"> and funds.</w:t>
      </w:r>
      <w:r>
        <w:rPr>
          <w:rFonts w:ascii="Arial" w:hAnsi="Arial" w:cs="Arial"/>
        </w:rPr>
        <w:t xml:space="preserve"> Resolving Davis-Bacon split wage issues also can delay the start of construction.</w:t>
      </w:r>
    </w:p>
    <w:p w14:paraId="1ACDAF61" w14:textId="66D2047D" w:rsidR="00423D8C" w:rsidRDefault="00252415" w:rsidP="00423D8C">
      <w:pPr>
        <w:pStyle w:val="Header1"/>
        <w:widowControl/>
        <w:spacing w:before="0" w:after="160" w:line="240" w:lineRule="auto"/>
        <w:ind w:right="-158"/>
        <w:jc w:val="both"/>
        <w:rPr>
          <w:rFonts w:cs="Arial"/>
          <w:color w:val="948A54"/>
          <w:szCs w:val="22"/>
        </w:rPr>
      </w:pPr>
      <w:bookmarkStart w:id="0" w:name="_Hlk80260369"/>
      <w:r>
        <w:rPr>
          <w:rFonts w:cs="Arial"/>
          <w:color w:val="948A54"/>
          <w:szCs w:val="22"/>
        </w:rPr>
        <w:t xml:space="preserve">Davis-bacon </w:t>
      </w:r>
      <w:r w:rsidR="00423D8C">
        <w:rPr>
          <w:rFonts w:cs="Arial"/>
          <w:color w:val="948A54"/>
          <w:szCs w:val="22"/>
        </w:rPr>
        <w:t>rulemaking</w:t>
      </w:r>
    </w:p>
    <w:p w14:paraId="2D5C4D22" w14:textId="77777777" w:rsidR="006D0026" w:rsidRDefault="006D0026" w:rsidP="00252415">
      <w:pPr>
        <w:pStyle w:val="Header1"/>
        <w:widowControl/>
        <w:spacing w:before="0" w:after="160" w:line="240" w:lineRule="auto"/>
        <w:ind w:right="-158"/>
        <w:jc w:val="both"/>
        <w:rPr>
          <w:rFonts w:eastAsiaTheme="minorHAnsi" w:cs="Arial"/>
          <w:b w:val="0"/>
          <w:caps w:val="0"/>
          <w:color w:val="auto"/>
          <w:spacing w:val="0"/>
          <w:sz w:val="22"/>
          <w:szCs w:val="22"/>
        </w:rPr>
      </w:pPr>
      <w:r>
        <w:rPr>
          <w:rFonts w:eastAsiaTheme="minorHAnsi" w:cs="Arial"/>
          <w:b w:val="0"/>
          <w:caps w:val="0"/>
          <w:color w:val="auto"/>
          <w:spacing w:val="0"/>
          <w:sz w:val="22"/>
          <w:szCs w:val="22"/>
        </w:rPr>
        <w:t>In August of 2023, WHD issued a final rule “</w:t>
      </w:r>
      <w:r w:rsidRPr="006D0026">
        <w:rPr>
          <w:rFonts w:eastAsiaTheme="minorHAnsi" w:cs="Arial"/>
          <w:b w:val="0"/>
          <w:caps w:val="0"/>
          <w:color w:val="auto"/>
          <w:spacing w:val="0"/>
          <w:sz w:val="22"/>
          <w:szCs w:val="22"/>
        </w:rPr>
        <w:t>Updating the Davis-Bacon and Related Acts Regulations</w:t>
      </w:r>
      <w:r>
        <w:rPr>
          <w:rFonts w:eastAsiaTheme="minorHAnsi" w:cs="Arial"/>
          <w:b w:val="0"/>
          <w:caps w:val="0"/>
          <w:color w:val="auto"/>
          <w:spacing w:val="0"/>
          <w:sz w:val="22"/>
          <w:szCs w:val="22"/>
        </w:rPr>
        <w:t xml:space="preserve">.” Despite intense advocacy from MBA and the larger real estate coalition, few changes were made to their March 2022 proposal.  </w:t>
      </w:r>
    </w:p>
    <w:p w14:paraId="5E4DDD81" w14:textId="3371E7F6" w:rsidR="00252415" w:rsidRPr="00252415" w:rsidRDefault="00252415" w:rsidP="00252415">
      <w:pPr>
        <w:pStyle w:val="Header1"/>
        <w:widowControl/>
        <w:spacing w:before="0" w:after="160" w:line="240" w:lineRule="auto"/>
        <w:ind w:right="-158"/>
        <w:jc w:val="both"/>
        <w:rPr>
          <w:rFonts w:eastAsiaTheme="minorHAnsi" w:cs="Arial"/>
          <w:b w:val="0"/>
          <w:caps w:val="0"/>
          <w:color w:val="auto"/>
          <w:spacing w:val="0"/>
          <w:sz w:val="22"/>
          <w:szCs w:val="22"/>
        </w:rPr>
      </w:pPr>
      <w:r w:rsidRPr="00252415">
        <w:rPr>
          <w:rFonts w:eastAsiaTheme="minorHAnsi" w:cs="Arial"/>
          <w:b w:val="0"/>
          <w:caps w:val="0"/>
          <w:color w:val="auto"/>
          <w:spacing w:val="0"/>
          <w:sz w:val="22"/>
          <w:szCs w:val="22"/>
        </w:rPr>
        <w:t>Among other provisions, the</w:t>
      </w:r>
      <w:r w:rsidR="006D0026">
        <w:rPr>
          <w:rFonts w:eastAsiaTheme="minorHAnsi" w:cs="Arial"/>
          <w:b w:val="0"/>
          <w:caps w:val="0"/>
          <w:color w:val="auto"/>
          <w:spacing w:val="0"/>
          <w:sz w:val="22"/>
          <w:szCs w:val="22"/>
        </w:rPr>
        <w:t xml:space="preserve"> Rule</w:t>
      </w:r>
      <w:r w:rsidRPr="00252415">
        <w:rPr>
          <w:rFonts w:eastAsiaTheme="minorHAnsi" w:cs="Arial"/>
          <w:b w:val="0"/>
          <w:caps w:val="0"/>
          <w:color w:val="auto"/>
          <w:spacing w:val="0"/>
          <w:sz w:val="22"/>
          <w:szCs w:val="22"/>
        </w:rPr>
        <w:t xml:space="preserve"> reaffirm</w:t>
      </w:r>
      <w:r w:rsidR="006D0026">
        <w:rPr>
          <w:rFonts w:eastAsiaTheme="minorHAnsi" w:cs="Arial"/>
          <w:b w:val="0"/>
          <w:caps w:val="0"/>
          <w:color w:val="auto"/>
          <w:spacing w:val="0"/>
          <w:sz w:val="22"/>
          <w:szCs w:val="22"/>
        </w:rPr>
        <w:t>s</w:t>
      </w:r>
      <w:r w:rsidRPr="00252415">
        <w:rPr>
          <w:rFonts w:eastAsiaTheme="minorHAnsi" w:cs="Arial"/>
          <w:b w:val="0"/>
          <w:caps w:val="0"/>
          <w:color w:val="auto"/>
          <w:spacing w:val="0"/>
          <w:sz w:val="22"/>
          <w:szCs w:val="22"/>
        </w:rPr>
        <w:t xml:space="preserve"> current WHD policy and practice on multiple wage rate (“split-wage</w:t>
      </w:r>
      <w:r w:rsidR="004C5734">
        <w:rPr>
          <w:rFonts w:eastAsiaTheme="minorHAnsi" w:cs="Arial"/>
          <w:b w:val="0"/>
          <w:caps w:val="0"/>
          <w:color w:val="auto"/>
          <w:spacing w:val="0"/>
          <w:sz w:val="22"/>
          <w:szCs w:val="22"/>
        </w:rPr>
        <w:t>”</w:t>
      </w:r>
      <w:r w:rsidRPr="00252415">
        <w:rPr>
          <w:rFonts w:eastAsiaTheme="minorHAnsi" w:cs="Arial"/>
          <w:b w:val="0"/>
          <w:caps w:val="0"/>
          <w:color w:val="auto"/>
          <w:spacing w:val="0"/>
          <w:sz w:val="22"/>
          <w:szCs w:val="22"/>
        </w:rPr>
        <w:t xml:space="preserve">) determinations and the effective dates for wage rate revisions under for FHA-insured projects, i.e., a revised wage rate determination is effective if it is issued prior to the earlier of initial endorsement or beginning of construction. The proposal also addresses the process for establishing prevailing wage rates. </w:t>
      </w:r>
    </w:p>
    <w:p w14:paraId="296D89BE" w14:textId="42120AED" w:rsidR="00252415" w:rsidRPr="00252415" w:rsidRDefault="00755A94" w:rsidP="00252415">
      <w:pPr>
        <w:pStyle w:val="Header1"/>
        <w:widowControl/>
        <w:spacing w:before="0" w:after="160" w:line="240" w:lineRule="auto"/>
        <w:ind w:right="-158"/>
        <w:jc w:val="both"/>
        <w:rPr>
          <w:rFonts w:eastAsiaTheme="minorHAnsi" w:cs="Arial"/>
          <w:b w:val="0"/>
          <w:caps w:val="0"/>
          <w:color w:val="auto"/>
          <w:spacing w:val="0"/>
          <w:sz w:val="22"/>
          <w:szCs w:val="22"/>
        </w:rPr>
      </w:pPr>
      <w:r>
        <w:rPr>
          <w:rFonts w:eastAsiaTheme="minorHAnsi" w:cs="Arial"/>
          <w:b w:val="0"/>
          <w:caps w:val="0"/>
          <w:color w:val="auto"/>
          <w:spacing w:val="0"/>
          <w:sz w:val="22"/>
          <w:szCs w:val="22"/>
        </w:rPr>
        <w:t xml:space="preserve">MBA worked with the larger real estate coalition and submitted joint comments to </w:t>
      </w:r>
      <w:r w:rsidR="00511080">
        <w:rPr>
          <w:rFonts w:eastAsiaTheme="minorHAnsi" w:cs="Arial"/>
          <w:b w:val="0"/>
          <w:caps w:val="0"/>
          <w:color w:val="auto"/>
          <w:spacing w:val="0"/>
          <w:sz w:val="22"/>
          <w:szCs w:val="22"/>
        </w:rPr>
        <w:t xml:space="preserve">WHD, expressing concern that the proposal fails to </w:t>
      </w:r>
      <w:r w:rsidR="00511080" w:rsidRPr="00511080">
        <w:rPr>
          <w:rFonts w:eastAsiaTheme="minorHAnsi" w:cs="Arial"/>
          <w:b w:val="0"/>
          <w:caps w:val="0"/>
          <w:color w:val="auto"/>
          <w:spacing w:val="0"/>
          <w:sz w:val="22"/>
          <w:szCs w:val="22"/>
        </w:rPr>
        <w:t>address the shortcomings with the DBRA regulations.</w:t>
      </w:r>
      <w:r w:rsidR="00511080">
        <w:rPr>
          <w:rFonts w:eastAsiaTheme="minorHAnsi" w:cs="Arial"/>
          <w:b w:val="0"/>
          <w:caps w:val="0"/>
          <w:color w:val="auto"/>
          <w:spacing w:val="0"/>
          <w:sz w:val="22"/>
          <w:szCs w:val="22"/>
        </w:rPr>
        <w:t xml:space="preserve"> </w:t>
      </w:r>
      <w:proofErr w:type="gramStart"/>
      <w:r w:rsidR="00511080">
        <w:rPr>
          <w:rFonts w:eastAsiaTheme="minorHAnsi" w:cs="Arial"/>
          <w:b w:val="0"/>
          <w:caps w:val="0"/>
          <w:color w:val="auto"/>
          <w:spacing w:val="0"/>
          <w:sz w:val="22"/>
          <w:szCs w:val="22"/>
        </w:rPr>
        <w:t>Instead</w:t>
      </w:r>
      <w:proofErr w:type="gramEnd"/>
      <w:r w:rsidR="00511080">
        <w:rPr>
          <w:rFonts w:eastAsiaTheme="minorHAnsi" w:cs="Arial"/>
          <w:b w:val="0"/>
          <w:caps w:val="0"/>
          <w:color w:val="auto"/>
          <w:spacing w:val="0"/>
          <w:sz w:val="22"/>
          <w:szCs w:val="22"/>
        </w:rPr>
        <w:t xml:space="preserve"> the groups made the following recommendations.</w:t>
      </w:r>
    </w:p>
    <w:p w14:paraId="1DCCA8A4" w14:textId="77777777" w:rsidR="003E039E" w:rsidRPr="0045534A" w:rsidRDefault="00BA4A02" w:rsidP="00423D8C">
      <w:pPr>
        <w:pStyle w:val="Header1"/>
        <w:widowControl/>
        <w:spacing w:before="0" w:after="160" w:line="240" w:lineRule="auto"/>
        <w:ind w:right="-158"/>
        <w:jc w:val="both"/>
        <w:rPr>
          <w:rFonts w:cs="Arial"/>
          <w:b w:val="0"/>
          <w:color w:val="948A54"/>
          <w:szCs w:val="22"/>
        </w:rPr>
      </w:pPr>
      <w:r w:rsidRPr="0045534A">
        <w:rPr>
          <w:rFonts w:cs="Arial"/>
          <w:color w:val="948A54"/>
          <w:szCs w:val="22"/>
        </w:rPr>
        <w:t>RECOMMENDATIONS</w:t>
      </w:r>
    </w:p>
    <w:bookmarkEnd w:id="0"/>
    <w:p w14:paraId="420107AE" w14:textId="347F47D9" w:rsidR="005D54FD" w:rsidRPr="00104755" w:rsidRDefault="005D54FD" w:rsidP="00423D8C">
      <w:pPr>
        <w:spacing w:line="240" w:lineRule="auto"/>
        <w:jc w:val="both"/>
        <w:rPr>
          <w:rFonts w:ascii="Arial" w:hAnsi="Arial" w:cs="Arial"/>
          <w:b/>
          <w:bCs/>
        </w:rPr>
      </w:pPr>
      <w:r w:rsidRPr="00104755">
        <w:rPr>
          <w:rFonts w:ascii="Arial" w:hAnsi="Arial" w:cs="Arial"/>
          <w:b/>
          <w:bCs/>
        </w:rPr>
        <w:t>Residential-only wage rates for FHA-finance</w:t>
      </w:r>
      <w:r w:rsidR="00755A94">
        <w:rPr>
          <w:rFonts w:ascii="Arial" w:hAnsi="Arial" w:cs="Arial"/>
          <w:b/>
          <w:bCs/>
        </w:rPr>
        <w:t>d</w:t>
      </w:r>
      <w:r w:rsidRPr="00104755">
        <w:rPr>
          <w:rFonts w:ascii="Arial" w:hAnsi="Arial" w:cs="Arial"/>
          <w:b/>
          <w:bCs/>
        </w:rPr>
        <w:t xml:space="preserve"> multifamily projects</w:t>
      </w:r>
    </w:p>
    <w:p w14:paraId="4FAF98EA" w14:textId="5A112BEF" w:rsidR="005D54FD" w:rsidRDefault="005D54FD" w:rsidP="003D61F4">
      <w:pPr>
        <w:spacing w:line="240" w:lineRule="auto"/>
        <w:jc w:val="both"/>
        <w:rPr>
          <w:rFonts w:ascii="Arial" w:hAnsi="Arial" w:cs="Arial"/>
        </w:rPr>
      </w:pPr>
      <w:r>
        <w:rPr>
          <w:rFonts w:ascii="Arial" w:hAnsi="Arial" w:cs="Arial"/>
        </w:rPr>
        <w:t xml:space="preserve">MBA recommends that all FHA-financed projects for </w:t>
      </w:r>
      <w:r w:rsidRPr="00FD5D79">
        <w:rPr>
          <w:rFonts w:ascii="Arial" w:hAnsi="Arial" w:cs="Arial"/>
        </w:rPr>
        <w:t>new construction or substantial rehabilitation of multifamily and residential healthcare properties</w:t>
      </w:r>
      <w:r>
        <w:rPr>
          <w:rFonts w:ascii="Arial" w:hAnsi="Arial" w:cs="Arial"/>
        </w:rPr>
        <w:t xml:space="preserve"> be assigned only </w:t>
      </w:r>
      <w:r w:rsidR="00755A94">
        <w:rPr>
          <w:rFonts w:ascii="Arial" w:hAnsi="Arial" w:cs="Arial"/>
        </w:rPr>
        <w:t>r</w:t>
      </w:r>
      <w:r>
        <w:rPr>
          <w:rFonts w:ascii="Arial" w:hAnsi="Arial" w:cs="Arial"/>
        </w:rPr>
        <w:t>esidential wage rates for Davis-Bacon purposes, consistent with the inherently residential character of the projects</w:t>
      </w:r>
      <w:r w:rsidR="00E93CFD">
        <w:rPr>
          <w:rFonts w:ascii="Arial" w:hAnsi="Arial" w:cs="Arial"/>
        </w:rPr>
        <w:t xml:space="preserve"> and the housing mission of FHA and HUD</w:t>
      </w:r>
      <w:r>
        <w:rPr>
          <w:rFonts w:ascii="Arial" w:hAnsi="Arial" w:cs="Arial"/>
        </w:rPr>
        <w:t xml:space="preserve">. </w:t>
      </w:r>
    </w:p>
    <w:p w14:paraId="79CD1F71" w14:textId="77777777" w:rsidR="004A1F55" w:rsidRPr="00FD5D79" w:rsidRDefault="00603160" w:rsidP="00252415">
      <w:pPr>
        <w:keepNext/>
        <w:keepLines/>
        <w:spacing w:line="240" w:lineRule="auto"/>
        <w:jc w:val="both"/>
        <w:rPr>
          <w:rFonts w:ascii="Arial" w:hAnsi="Arial" w:cs="Arial"/>
          <w:b/>
          <w:color w:val="877952" w:themeColor="background2" w:themeShade="80"/>
        </w:rPr>
      </w:pPr>
      <w:r w:rsidRPr="00FD5D79">
        <w:rPr>
          <w:rFonts w:ascii="Arial" w:hAnsi="Arial" w:cs="Arial"/>
          <w:b/>
          <w:color w:val="000000" w:themeColor="text1"/>
        </w:rPr>
        <w:lastRenderedPageBreak/>
        <w:t>Additional Davis-Bacon recommendations</w:t>
      </w:r>
    </w:p>
    <w:p w14:paraId="113BEABB" w14:textId="04174683" w:rsidR="00755A94" w:rsidRPr="00755A94" w:rsidRDefault="00755A94" w:rsidP="00755A94">
      <w:pPr>
        <w:pStyle w:val="ListParagraph"/>
        <w:keepNext/>
        <w:keepLines/>
        <w:numPr>
          <w:ilvl w:val="0"/>
          <w:numId w:val="28"/>
        </w:numPr>
        <w:spacing w:line="240" w:lineRule="auto"/>
        <w:jc w:val="both"/>
        <w:rPr>
          <w:rFonts w:ascii="Arial" w:hAnsi="Arial" w:cs="Arial"/>
        </w:rPr>
      </w:pPr>
      <w:r w:rsidRPr="00755A94">
        <w:rPr>
          <w:rFonts w:ascii="Arial" w:hAnsi="Arial" w:cs="Arial"/>
        </w:rPr>
        <w:t xml:space="preserve">For FHA-assisted projects, WHD </w:t>
      </w:r>
      <w:r>
        <w:rPr>
          <w:rFonts w:ascii="Arial" w:hAnsi="Arial" w:cs="Arial"/>
        </w:rPr>
        <w:t xml:space="preserve">should </w:t>
      </w:r>
      <w:r w:rsidRPr="00755A94">
        <w:rPr>
          <w:rFonts w:ascii="Arial" w:hAnsi="Arial" w:cs="Arial"/>
        </w:rPr>
        <w:t>increase the threshold for when items of work are sufficiently “substantial” to warrant consideration of separate wage rates from $2.5 million to $15 million (or at a minimum to $5 million or a level that accurately reflects the combined impacts of inflation and rising construction costs).</w:t>
      </w:r>
    </w:p>
    <w:p w14:paraId="42A8CFF1" w14:textId="078A2C54" w:rsidR="00755A94" w:rsidRPr="00755A94" w:rsidRDefault="00755A94" w:rsidP="00755A94">
      <w:pPr>
        <w:pStyle w:val="ListParagraph"/>
        <w:keepNext/>
        <w:keepLines/>
        <w:numPr>
          <w:ilvl w:val="0"/>
          <w:numId w:val="28"/>
        </w:numPr>
        <w:spacing w:line="240" w:lineRule="auto"/>
        <w:jc w:val="both"/>
        <w:rPr>
          <w:rFonts w:ascii="Arial" w:hAnsi="Arial" w:cs="Arial"/>
        </w:rPr>
      </w:pPr>
      <w:r w:rsidRPr="00755A94">
        <w:rPr>
          <w:rFonts w:ascii="Arial" w:hAnsi="Arial" w:cs="Arial"/>
        </w:rPr>
        <w:t xml:space="preserve">For FHA-assisted projects, WHD </w:t>
      </w:r>
      <w:r>
        <w:rPr>
          <w:rFonts w:ascii="Arial" w:hAnsi="Arial" w:cs="Arial"/>
        </w:rPr>
        <w:t>should</w:t>
      </w:r>
      <w:r w:rsidRPr="00755A94">
        <w:rPr>
          <w:rFonts w:ascii="Arial" w:hAnsi="Arial" w:cs="Arial"/>
        </w:rPr>
        <w:t xml:space="preserve"> revise the proposed regulation to effectively fix the wage rates as those in effect on the date an application for a firm commitment is submitted. </w:t>
      </w:r>
    </w:p>
    <w:p w14:paraId="613E1961" w14:textId="191F198F" w:rsidR="00755A94" w:rsidRPr="00755A94" w:rsidRDefault="00755A94" w:rsidP="00755A94">
      <w:pPr>
        <w:pStyle w:val="ListParagraph"/>
        <w:keepNext/>
        <w:keepLines/>
        <w:numPr>
          <w:ilvl w:val="0"/>
          <w:numId w:val="28"/>
        </w:numPr>
        <w:spacing w:line="240" w:lineRule="auto"/>
        <w:jc w:val="both"/>
        <w:rPr>
          <w:rFonts w:ascii="Arial" w:hAnsi="Arial" w:cs="Arial"/>
        </w:rPr>
      </w:pPr>
      <w:r w:rsidRPr="00755A94">
        <w:rPr>
          <w:rFonts w:ascii="Arial" w:hAnsi="Arial" w:cs="Arial"/>
        </w:rPr>
        <w:t xml:space="preserve">WHD </w:t>
      </w:r>
      <w:r w:rsidR="00511080">
        <w:rPr>
          <w:rFonts w:ascii="Arial" w:hAnsi="Arial" w:cs="Arial"/>
        </w:rPr>
        <w:t xml:space="preserve">should </w:t>
      </w:r>
      <w:r w:rsidRPr="00755A94">
        <w:rPr>
          <w:rFonts w:ascii="Arial" w:hAnsi="Arial" w:cs="Arial"/>
        </w:rPr>
        <w:t xml:space="preserve">modify Davis-Bacon construction classifications to also permit FHA-assisted structures of more than four stories to be considered Residential construction, consistent with advances in the construction of multifamily structures that have occurred since 1985, as reflected in the International Building Code. </w:t>
      </w:r>
    </w:p>
    <w:p w14:paraId="26608D5C" w14:textId="03CD7A06" w:rsidR="00755A94" w:rsidRPr="00755A94" w:rsidRDefault="00755A94" w:rsidP="00755A94">
      <w:pPr>
        <w:pStyle w:val="ListParagraph"/>
        <w:keepNext/>
        <w:keepLines/>
        <w:numPr>
          <w:ilvl w:val="0"/>
          <w:numId w:val="28"/>
        </w:numPr>
        <w:spacing w:line="240" w:lineRule="auto"/>
        <w:jc w:val="both"/>
        <w:rPr>
          <w:rFonts w:ascii="Arial" w:hAnsi="Arial" w:cs="Arial"/>
        </w:rPr>
      </w:pPr>
      <w:r w:rsidRPr="00755A94">
        <w:rPr>
          <w:rFonts w:ascii="Arial" w:hAnsi="Arial" w:cs="Arial"/>
        </w:rPr>
        <w:t xml:space="preserve">WHD </w:t>
      </w:r>
      <w:r>
        <w:rPr>
          <w:rFonts w:ascii="Arial" w:hAnsi="Arial" w:cs="Arial"/>
        </w:rPr>
        <w:t>should</w:t>
      </w:r>
      <w:r w:rsidRPr="00755A94">
        <w:rPr>
          <w:rFonts w:ascii="Arial" w:hAnsi="Arial" w:cs="Arial"/>
        </w:rPr>
        <w:t xml:space="preserve"> engage directly in a deeper examination of the process of determining prevailing wages with the objective of either broadening participation, utilizing other data sources such as other BLS data, or even looking to private payroll processing providers.  </w:t>
      </w:r>
    </w:p>
    <w:p w14:paraId="75B14EFA" w14:textId="122CDF8E" w:rsidR="00B874EA" w:rsidRPr="00A85700" w:rsidRDefault="00603160" w:rsidP="00A85700">
      <w:pPr>
        <w:pStyle w:val="ListParagraph"/>
        <w:keepNext/>
        <w:keepLines/>
        <w:numPr>
          <w:ilvl w:val="0"/>
          <w:numId w:val="28"/>
        </w:numPr>
        <w:spacing w:after="0" w:line="240" w:lineRule="auto"/>
        <w:contextualSpacing w:val="0"/>
        <w:jc w:val="both"/>
        <w:rPr>
          <w:rFonts w:ascii="Arial" w:hAnsi="Arial" w:cs="Arial"/>
          <w:i/>
        </w:rPr>
      </w:pPr>
      <w:r w:rsidRPr="00755A94">
        <w:rPr>
          <w:rFonts w:ascii="Arial" w:hAnsi="Arial" w:cs="Arial"/>
        </w:rPr>
        <w:t>To prevent avoidable costs and delays arising from periodic update</w:t>
      </w:r>
      <w:r w:rsidR="000267C9" w:rsidRPr="00755A94">
        <w:rPr>
          <w:rFonts w:ascii="Arial" w:hAnsi="Arial" w:cs="Arial"/>
        </w:rPr>
        <w:t>s</w:t>
      </w:r>
      <w:r w:rsidRPr="00755A94">
        <w:rPr>
          <w:rFonts w:ascii="Arial" w:hAnsi="Arial" w:cs="Arial"/>
        </w:rPr>
        <w:t xml:space="preserve"> to Davis-Bacon wage rates </w:t>
      </w:r>
      <w:r w:rsidR="00511080">
        <w:rPr>
          <w:rFonts w:ascii="Arial" w:hAnsi="Arial" w:cs="Arial"/>
        </w:rPr>
        <w:t>WHD</w:t>
      </w:r>
      <w:r w:rsidR="00511080" w:rsidRPr="00755A94">
        <w:rPr>
          <w:rFonts w:ascii="Arial" w:hAnsi="Arial" w:cs="Arial"/>
        </w:rPr>
        <w:t xml:space="preserve"> </w:t>
      </w:r>
      <w:r w:rsidRPr="00755A94">
        <w:rPr>
          <w:rFonts w:ascii="Arial" w:hAnsi="Arial" w:cs="Arial"/>
        </w:rPr>
        <w:t>should revise its procedures to effectively lock-in Davis-Bacon wage decisions for FHA-insured projects at a time sufficiently early in the application process to avoid the need for the developer, lender or HUD to revise and repeat previously completed process steps (e.g., 45 days prior to the date an application for firm commitment is submitted).</w:t>
      </w:r>
    </w:p>
    <w:p w14:paraId="0454C0E7" w14:textId="5E88FCB6" w:rsidR="006657ED" w:rsidRPr="00755A94" w:rsidRDefault="00B874EA" w:rsidP="00A85700">
      <w:pPr>
        <w:pStyle w:val="ListParagraph"/>
        <w:keepNext/>
        <w:keepLines/>
        <w:numPr>
          <w:ilvl w:val="0"/>
          <w:numId w:val="28"/>
        </w:numPr>
        <w:spacing w:after="0" w:line="240" w:lineRule="auto"/>
        <w:contextualSpacing w:val="0"/>
        <w:jc w:val="both"/>
        <w:rPr>
          <w:rFonts w:ascii="Arial" w:hAnsi="Arial" w:cs="Arial"/>
          <w:i/>
        </w:rPr>
      </w:pPr>
      <w:r>
        <w:rPr>
          <w:rFonts w:ascii="Arial" w:hAnsi="Arial" w:cs="Arial"/>
        </w:rPr>
        <w:t xml:space="preserve"> </w:t>
      </w:r>
      <w:r w:rsidR="00603160" w:rsidRPr="00755A94">
        <w:rPr>
          <w:rFonts w:ascii="Arial" w:hAnsi="Arial" w:cs="Arial"/>
        </w:rPr>
        <w:t>As an interim measure, DOL should work with HUD to implement a streamlined hardship-based waiver process to address situations where the timing of the effective date of a wage decision modification on any project would be likely to cause an unreasonable need to modify and repeat previously completed process steps.</w:t>
      </w:r>
    </w:p>
    <w:p w14:paraId="4D6A7F64" w14:textId="3B0710B4" w:rsidR="006657ED" w:rsidRDefault="006657ED" w:rsidP="00755A94">
      <w:pPr>
        <w:keepNext/>
        <w:keepLines/>
        <w:spacing w:line="240" w:lineRule="auto"/>
        <w:jc w:val="both"/>
        <w:rPr>
          <w:rFonts w:ascii="Arial" w:hAnsi="Arial" w:cs="Arial"/>
          <w:iCs/>
        </w:rPr>
      </w:pPr>
    </w:p>
    <w:p w14:paraId="633F1D29" w14:textId="18BFFEB6" w:rsidR="006D0026" w:rsidRPr="0045534A" w:rsidRDefault="006D0026" w:rsidP="006D0026">
      <w:pPr>
        <w:pStyle w:val="Header1"/>
        <w:widowControl/>
        <w:spacing w:before="0" w:after="160" w:line="240" w:lineRule="auto"/>
        <w:ind w:right="-158"/>
        <w:jc w:val="both"/>
        <w:rPr>
          <w:rFonts w:cs="Arial"/>
          <w:b w:val="0"/>
          <w:color w:val="948A54"/>
          <w:szCs w:val="22"/>
        </w:rPr>
      </w:pPr>
      <w:r>
        <w:rPr>
          <w:rFonts w:cs="Arial"/>
          <w:color w:val="948A54"/>
          <w:szCs w:val="22"/>
        </w:rPr>
        <w:t>FINAL RULE</w:t>
      </w:r>
    </w:p>
    <w:p w14:paraId="5F637550" w14:textId="2127AF14" w:rsidR="006D0026" w:rsidRDefault="006D0026" w:rsidP="00755A94">
      <w:pPr>
        <w:keepNext/>
        <w:keepLines/>
        <w:spacing w:line="240" w:lineRule="auto"/>
        <w:jc w:val="both"/>
        <w:rPr>
          <w:rFonts w:ascii="Arial" w:hAnsi="Arial" w:cs="Arial"/>
          <w:iCs/>
        </w:rPr>
      </w:pPr>
      <w:r>
        <w:rPr>
          <w:rFonts w:ascii="Arial" w:hAnsi="Arial" w:cs="Arial"/>
          <w:iCs/>
        </w:rPr>
        <w:t xml:space="preserve">The final rule, published on August 14, 2023, rejected </w:t>
      </w:r>
      <w:proofErr w:type="gramStart"/>
      <w:r>
        <w:rPr>
          <w:rFonts w:ascii="Arial" w:hAnsi="Arial" w:cs="Arial"/>
          <w:iCs/>
        </w:rPr>
        <w:t>all of</w:t>
      </w:r>
      <w:proofErr w:type="gramEnd"/>
      <w:r>
        <w:rPr>
          <w:rFonts w:ascii="Arial" w:hAnsi="Arial" w:cs="Arial"/>
          <w:iCs/>
        </w:rPr>
        <w:t xml:space="preserve"> these recommendations. </w:t>
      </w:r>
      <w:r w:rsidRPr="006D0026">
        <w:rPr>
          <w:rFonts w:ascii="Arial" w:hAnsi="Arial" w:cs="Arial"/>
          <w:iCs/>
        </w:rPr>
        <w:t xml:space="preserve">DOL declined to address the issue of split wages, nor the issue around when those wages are determined. The final rule did not update the definition of residential housing to include those over 4 stories, despite that being out of date with advances in the construction of multifamily structures that have occurred since 1985. Lastly, the final rule returns to the three-step wage determination system that was used from 1938-1983, </w:t>
      </w:r>
      <w:proofErr w:type="gramStart"/>
      <w:r w:rsidRPr="006D0026">
        <w:rPr>
          <w:rFonts w:ascii="Arial" w:hAnsi="Arial" w:cs="Arial"/>
          <w:iCs/>
        </w:rPr>
        <w:t>despite the fact that</w:t>
      </w:r>
      <w:proofErr w:type="gramEnd"/>
      <w:r w:rsidRPr="006D0026">
        <w:rPr>
          <w:rFonts w:ascii="Arial" w:hAnsi="Arial" w:cs="Arial"/>
          <w:iCs/>
        </w:rPr>
        <w:t xml:space="preserve"> it is well documented that this process gives more weight to a small number of respondents, and results in inflated wages.</w:t>
      </w:r>
    </w:p>
    <w:p w14:paraId="4374BDF4" w14:textId="3A76104C" w:rsidR="006D0026" w:rsidRDefault="006D0026" w:rsidP="00755A94">
      <w:pPr>
        <w:keepNext/>
        <w:keepLines/>
        <w:spacing w:line="240" w:lineRule="auto"/>
        <w:jc w:val="both"/>
        <w:rPr>
          <w:rFonts w:ascii="Arial" w:hAnsi="Arial" w:cs="Arial"/>
          <w:iCs/>
        </w:rPr>
      </w:pPr>
      <w:r>
        <w:rPr>
          <w:rFonts w:ascii="Arial" w:hAnsi="Arial" w:cs="Arial"/>
          <w:iCs/>
        </w:rPr>
        <w:t xml:space="preserve">A side by side analysis of our recommendations and the final rule can be found </w:t>
      </w:r>
      <w:hyperlink r:id="rId12" w:history="1">
        <w:r w:rsidRPr="008B278C">
          <w:rPr>
            <w:rStyle w:val="Hyperlink"/>
            <w:rFonts w:ascii="Arial" w:hAnsi="Arial" w:cs="Arial"/>
            <w:iCs/>
          </w:rPr>
          <w:t>here.</w:t>
        </w:r>
      </w:hyperlink>
      <w:r>
        <w:rPr>
          <w:rFonts w:ascii="Arial" w:hAnsi="Arial" w:cs="Arial"/>
          <w:iCs/>
        </w:rPr>
        <w:t xml:space="preserve"> MBA will continue to work </w:t>
      </w:r>
      <w:r w:rsidRPr="006D0026">
        <w:rPr>
          <w:rFonts w:ascii="Arial" w:hAnsi="Arial" w:cs="Arial"/>
          <w:iCs/>
        </w:rPr>
        <w:t>with HUD</w:t>
      </w:r>
      <w:r>
        <w:rPr>
          <w:rFonts w:ascii="Arial" w:hAnsi="Arial" w:cs="Arial"/>
          <w:iCs/>
        </w:rPr>
        <w:t xml:space="preserve">, </w:t>
      </w:r>
      <w:r w:rsidRPr="006D0026">
        <w:rPr>
          <w:rFonts w:ascii="Arial" w:hAnsi="Arial" w:cs="Arial"/>
          <w:iCs/>
        </w:rPr>
        <w:t>DOL</w:t>
      </w:r>
      <w:r>
        <w:rPr>
          <w:rFonts w:ascii="Arial" w:hAnsi="Arial" w:cs="Arial"/>
          <w:iCs/>
        </w:rPr>
        <w:t>, and Congress</w:t>
      </w:r>
      <w:r w:rsidRPr="006D0026">
        <w:rPr>
          <w:rFonts w:ascii="Arial" w:hAnsi="Arial" w:cs="Arial"/>
          <w:iCs/>
        </w:rPr>
        <w:t xml:space="preserve"> to address both the split wage and timing concerns.</w:t>
      </w:r>
    </w:p>
    <w:p w14:paraId="580444E1" w14:textId="0C9142E0" w:rsidR="00603160" w:rsidRPr="00A85700" w:rsidRDefault="004C5734" w:rsidP="00A85700">
      <w:pPr>
        <w:keepNext/>
        <w:keepLines/>
        <w:spacing w:line="240" w:lineRule="auto"/>
        <w:jc w:val="both"/>
        <w:rPr>
          <w:rFonts w:ascii="Arial" w:hAnsi="Arial" w:cs="Arial"/>
          <w:i/>
        </w:rPr>
      </w:pPr>
      <w:r>
        <w:rPr>
          <w:rFonts w:ascii="Arial" w:hAnsi="Arial" w:cs="Arial"/>
          <w:i/>
        </w:rPr>
        <w:t>March 202</w:t>
      </w:r>
      <w:r w:rsidR="00CE4CBC">
        <w:rPr>
          <w:rFonts w:ascii="Arial" w:hAnsi="Arial" w:cs="Arial"/>
          <w:i/>
        </w:rPr>
        <w:t>5</w:t>
      </w:r>
    </w:p>
    <w:sectPr w:rsidR="00603160" w:rsidRPr="00A85700" w:rsidSect="00060EB4">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484B" w14:textId="77777777" w:rsidR="00253638" w:rsidRDefault="00253638" w:rsidP="00CF3DE8">
      <w:pPr>
        <w:spacing w:after="0" w:line="240" w:lineRule="auto"/>
      </w:pPr>
      <w:r>
        <w:separator/>
      </w:r>
    </w:p>
  </w:endnote>
  <w:endnote w:type="continuationSeparator" w:id="0">
    <w:p w14:paraId="6DA0D487" w14:textId="77777777" w:rsidR="00253638" w:rsidRDefault="00253638" w:rsidP="00CF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25A2" w14:textId="467FA50C" w:rsidR="000C7106" w:rsidRDefault="008B498D">
    <w:pPr>
      <w:pStyle w:val="Footer"/>
      <w:jc w:val="right"/>
    </w:pPr>
    <w:r>
      <w:tab/>
    </w:r>
    <w:r w:rsidR="00060EB4">
      <w:rPr>
        <w:rFonts w:ascii="Helvetica" w:hAnsi="Helvetica"/>
        <w:b/>
        <w:noProof/>
        <w:color w:val="008065"/>
        <w:sz w:val="18"/>
        <w:szCs w:val="18"/>
      </w:rPr>
      <w:drawing>
        <wp:inline distT="0" distB="0" distL="0" distR="0" wp14:anchorId="29EB84B2" wp14:editId="4B4E6825">
          <wp:extent cx="5852160" cy="731520"/>
          <wp:effectExtent l="0" t="0" r="2540" b="508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stretch>
                    <a:fillRect/>
                  </a:stretch>
                </pic:blipFill>
                <pic:spPr>
                  <a:xfrm>
                    <a:off x="0" y="0"/>
                    <a:ext cx="5852160" cy="731520"/>
                  </a:xfrm>
                  <a:prstGeom prst="rect">
                    <a:avLst/>
                  </a:prstGeom>
                </pic:spPr>
              </pic:pic>
            </a:graphicData>
          </a:graphic>
        </wp:inline>
      </w:drawing>
    </w:r>
    <w:r>
      <w:tab/>
      <w:t xml:space="preserve">                                                         </w:t>
    </w:r>
    <w:sdt>
      <w:sdtPr>
        <w:id w:val="1614323258"/>
        <w:docPartObj>
          <w:docPartGallery w:val="Page Numbers (Bottom of Page)"/>
          <w:docPartUnique/>
        </w:docPartObj>
      </w:sdtPr>
      <w:sdtEndPr>
        <w:rPr>
          <w:noProof/>
        </w:rPr>
      </w:sdtEndPr>
      <w:sdtContent>
        <w:r w:rsidR="0013799B">
          <w:fldChar w:fldCharType="begin"/>
        </w:r>
        <w:r w:rsidR="000C7106">
          <w:instrText xml:space="preserve"> PAGE   \* MERGEFORMAT </w:instrText>
        </w:r>
        <w:r w:rsidR="0013799B">
          <w:fldChar w:fldCharType="separate"/>
        </w:r>
        <w:r w:rsidR="00FC7274">
          <w:rPr>
            <w:noProof/>
          </w:rPr>
          <w:t>2</w:t>
        </w:r>
        <w:r w:rsidR="0013799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8EBA" w14:textId="77777777" w:rsidR="00823423" w:rsidRDefault="00823423">
    <w:pPr>
      <w:pStyle w:val="Footer"/>
      <w:jc w:val="right"/>
    </w:pPr>
  </w:p>
  <w:p w14:paraId="2E4C5FF8" w14:textId="77777777" w:rsidR="00823423" w:rsidRDefault="00001102">
    <w:pPr>
      <w:pStyle w:val="Footer"/>
    </w:pPr>
    <w:r>
      <w:rPr>
        <w:rFonts w:ascii="Helvetica" w:hAnsi="Helvetica"/>
        <w:b/>
        <w:noProof/>
        <w:color w:val="008065"/>
        <w:sz w:val="18"/>
        <w:szCs w:val="18"/>
      </w:rPr>
      <w:drawing>
        <wp:inline distT="0" distB="0" distL="0" distR="0" wp14:anchorId="66F85788" wp14:editId="6042FBA2">
          <wp:extent cx="59436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5E4E" w14:textId="77777777" w:rsidR="00253638" w:rsidRDefault="00253638" w:rsidP="00CF3DE8">
      <w:pPr>
        <w:spacing w:after="0" w:line="240" w:lineRule="auto"/>
      </w:pPr>
      <w:r>
        <w:separator/>
      </w:r>
    </w:p>
  </w:footnote>
  <w:footnote w:type="continuationSeparator" w:id="0">
    <w:p w14:paraId="5044F1FF" w14:textId="77777777" w:rsidR="00253638" w:rsidRDefault="00253638" w:rsidP="00CF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9CBB" w14:textId="33E3BC76" w:rsidR="00060EB4" w:rsidRDefault="00060EB4">
    <w:pPr>
      <w:pStyle w:val="Header"/>
    </w:pPr>
    <w:r>
      <w:rPr>
        <w:noProof/>
      </w:rPr>
      <w:drawing>
        <wp:inline distT="0" distB="0" distL="0" distR="0" wp14:anchorId="42C1BD07" wp14:editId="124542D4">
          <wp:extent cx="5943600" cy="2787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A_Header.png"/>
                  <pic:cNvPicPr/>
                </pic:nvPicPr>
                <pic:blipFill>
                  <a:blip r:embed="rId1"/>
                  <a:stretch>
                    <a:fillRect/>
                  </a:stretch>
                </pic:blipFill>
                <pic:spPr>
                  <a:xfrm>
                    <a:off x="0" y="0"/>
                    <a:ext cx="5943600" cy="2787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19B9" w14:textId="77777777" w:rsidR="00722895" w:rsidRPr="00262894" w:rsidRDefault="00A82ADA" w:rsidP="00A82ADA">
    <w:pPr>
      <w:pStyle w:val="Header"/>
      <w:jc w:val="center"/>
      <w:rPr>
        <w:rFonts w:ascii="Arial" w:hAnsi="Arial" w:cs="Arial"/>
        <w:color w:val="877952" w:themeColor="background2" w:themeShade="80"/>
        <w:sz w:val="64"/>
        <w:szCs w:val="64"/>
      </w:rPr>
    </w:pPr>
    <w:r w:rsidRPr="00262894">
      <w:rPr>
        <w:rFonts w:ascii="Arial" w:hAnsi="Arial" w:cs="Arial"/>
        <w:color w:val="877952" w:themeColor="background2" w:themeShade="80"/>
        <w:sz w:val="64"/>
        <w:szCs w:val="64"/>
      </w:rPr>
      <w:t xml:space="preserve">FHA Multifamily Mortgage Insurance and </w:t>
    </w:r>
  </w:p>
  <w:p w14:paraId="498C9A55" w14:textId="77777777" w:rsidR="00A82ADA" w:rsidRPr="00262894" w:rsidRDefault="00A82ADA" w:rsidP="00A82ADA">
    <w:pPr>
      <w:pStyle w:val="Header"/>
      <w:jc w:val="center"/>
      <w:rPr>
        <w:rFonts w:ascii="Arial" w:hAnsi="Arial" w:cs="Arial"/>
        <w:color w:val="877952" w:themeColor="background2" w:themeShade="80"/>
        <w:sz w:val="64"/>
        <w:szCs w:val="64"/>
      </w:rPr>
    </w:pPr>
    <w:r w:rsidRPr="00262894">
      <w:rPr>
        <w:rFonts w:ascii="Arial" w:hAnsi="Arial" w:cs="Arial"/>
        <w:color w:val="877952" w:themeColor="background2" w:themeShade="80"/>
        <w:sz w:val="64"/>
        <w:szCs w:val="64"/>
      </w:rPr>
      <w:t>Davis-Bacon Wage Rates</w:t>
    </w:r>
  </w:p>
  <w:p w14:paraId="32099DB3" w14:textId="77777777" w:rsidR="00A82ADA" w:rsidRDefault="00A82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A0"/>
    <w:multiLevelType w:val="hybridMultilevel"/>
    <w:tmpl w:val="2F04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0599"/>
    <w:multiLevelType w:val="hybridMultilevel"/>
    <w:tmpl w:val="047ED706"/>
    <w:lvl w:ilvl="0" w:tplc="DDCC6B0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230AA1"/>
    <w:multiLevelType w:val="hybridMultilevel"/>
    <w:tmpl w:val="33F215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457AD"/>
    <w:multiLevelType w:val="hybridMultilevel"/>
    <w:tmpl w:val="42E0D79E"/>
    <w:lvl w:ilvl="0" w:tplc="96D4CDB6">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6045"/>
    <w:multiLevelType w:val="hybridMultilevel"/>
    <w:tmpl w:val="C10EC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39BE"/>
    <w:multiLevelType w:val="hybridMultilevel"/>
    <w:tmpl w:val="AAD06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132A67"/>
    <w:multiLevelType w:val="hybridMultilevel"/>
    <w:tmpl w:val="12F80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5D4292"/>
    <w:multiLevelType w:val="hybridMultilevel"/>
    <w:tmpl w:val="914A3C7C"/>
    <w:lvl w:ilvl="0" w:tplc="04090019">
      <w:start w:val="1"/>
      <w:numFmt w:val="lowerLetter"/>
      <w:lvlText w:val="%1."/>
      <w:lvlJc w:val="left"/>
      <w:pPr>
        <w:ind w:left="720" w:hanging="360"/>
      </w:pPr>
      <w:rPr>
        <w:rFonts w:eastAsia="Times New Roman"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02ACD"/>
    <w:multiLevelType w:val="hybridMultilevel"/>
    <w:tmpl w:val="29088AB8"/>
    <w:lvl w:ilvl="0" w:tplc="04090019">
      <w:start w:val="1"/>
      <w:numFmt w:val="lowerLetter"/>
      <w:lvlText w:val="%1."/>
      <w:lvlJc w:val="left"/>
      <w:pPr>
        <w:ind w:left="720" w:hanging="360"/>
      </w:pPr>
      <w:rPr>
        <w:rFonts w:eastAsia="Times New Roman"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EB0"/>
    <w:multiLevelType w:val="hybridMultilevel"/>
    <w:tmpl w:val="32C2B0B0"/>
    <w:lvl w:ilvl="0" w:tplc="500646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A3917"/>
    <w:multiLevelType w:val="hybridMultilevel"/>
    <w:tmpl w:val="818404AA"/>
    <w:lvl w:ilvl="0" w:tplc="261A1DDE">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83F49"/>
    <w:multiLevelType w:val="hybridMultilevel"/>
    <w:tmpl w:val="3D86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3B2"/>
    <w:multiLevelType w:val="hybridMultilevel"/>
    <w:tmpl w:val="A42EEC88"/>
    <w:lvl w:ilvl="0" w:tplc="641CE8EA">
      <w:start w:val="1"/>
      <w:numFmt w:val="lowerLetter"/>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C2A7A"/>
    <w:multiLevelType w:val="hybridMultilevel"/>
    <w:tmpl w:val="BCBE7636"/>
    <w:lvl w:ilvl="0" w:tplc="04090019">
      <w:start w:val="1"/>
      <w:numFmt w:val="lowerLetter"/>
      <w:lvlText w:val="%1."/>
      <w:lvlJc w:val="left"/>
      <w:pPr>
        <w:ind w:left="720" w:hanging="360"/>
      </w:pPr>
      <w:rPr>
        <w:rFonts w:eastAsia="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96D00"/>
    <w:multiLevelType w:val="hybridMultilevel"/>
    <w:tmpl w:val="30E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3385D"/>
    <w:multiLevelType w:val="hybridMultilevel"/>
    <w:tmpl w:val="2146D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15500"/>
    <w:multiLevelType w:val="hybridMultilevel"/>
    <w:tmpl w:val="5F8C1C0E"/>
    <w:lvl w:ilvl="0" w:tplc="DDCC6B0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F728A"/>
    <w:multiLevelType w:val="hybridMultilevel"/>
    <w:tmpl w:val="D96A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84E46"/>
    <w:multiLevelType w:val="hybridMultilevel"/>
    <w:tmpl w:val="F09E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45CE4"/>
    <w:multiLevelType w:val="hybridMultilevel"/>
    <w:tmpl w:val="CD3C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F0442"/>
    <w:multiLevelType w:val="hybridMultilevel"/>
    <w:tmpl w:val="FB46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45D21"/>
    <w:multiLevelType w:val="hybridMultilevel"/>
    <w:tmpl w:val="FAC89888"/>
    <w:lvl w:ilvl="0" w:tplc="641CE8EA">
      <w:start w:val="1"/>
      <w:numFmt w:val="lowerLetter"/>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5553E"/>
    <w:multiLevelType w:val="hybridMultilevel"/>
    <w:tmpl w:val="16201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E5D9E"/>
    <w:multiLevelType w:val="hybridMultilevel"/>
    <w:tmpl w:val="77FA2F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3A0704"/>
    <w:multiLevelType w:val="hybridMultilevel"/>
    <w:tmpl w:val="B9521EB2"/>
    <w:lvl w:ilvl="0" w:tplc="04090013">
      <w:start w:val="1"/>
      <w:numFmt w:val="upperRoman"/>
      <w:lvlText w:val="%1."/>
      <w:lvlJc w:val="right"/>
      <w:pPr>
        <w:ind w:left="360" w:hanging="360"/>
      </w:pPr>
      <w:rPr>
        <w:color w:val="4F141B" w:themeColor="accent2" w:themeShade="80"/>
      </w:rPr>
    </w:lvl>
    <w:lvl w:ilvl="1" w:tplc="04090011">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C5043"/>
    <w:multiLevelType w:val="hybridMultilevel"/>
    <w:tmpl w:val="FDC63A7C"/>
    <w:lvl w:ilvl="0" w:tplc="500646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35201"/>
    <w:multiLevelType w:val="hybridMultilevel"/>
    <w:tmpl w:val="EBD27128"/>
    <w:lvl w:ilvl="0" w:tplc="04090019">
      <w:start w:val="1"/>
      <w:numFmt w:val="lowerLetter"/>
      <w:lvlText w:val="%1."/>
      <w:lvlJc w:val="left"/>
      <w:pPr>
        <w:ind w:left="720" w:hanging="360"/>
      </w:pPr>
      <w:rPr>
        <w:rFonts w:eastAsia="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75CB4"/>
    <w:multiLevelType w:val="hybridMultilevel"/>
    <w:tmpl w:val="0CE8806E"/>
    <w:lvl w:ilvl="0" w:tplc="B4F22C68">
      <w:start w:val="1"/>
      <w:numFmt w:val="lowerLetter"/>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90D7E"/>
    <w:multiLevelType w:val="hybridMultilevel"/>
    <w:tmpl w:val="9CC0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719FF"/>
    <w:multiLevelType w:val="hybridMultilevel"/>
    <w:tmpl w:val="1BDE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D6A5C"/>
    <w:multiLevelType w:val="hybridMultilevel"/>
    <w:tmpl w:val="E36E7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4670E"/>
    <w:multiLevelType w:val="hybridMultilevel"/>
    <w:tmpl w:val="E8C09D60"/>
    <w:lvl w:ilvl="0" w:tplc="11CE4A76">
      <w:start w:val="1"/>
      <w:numFmt w:val="lowerLetter"/>
      <w:lvlText w:val="%1."/>
      <w:lvlJc w:val="left"/>
      <w:pPr>
        <w:ind w:left="360" w:hanging="360"/>
      </w:pPr>
      <w:rPr>
        <w:rFonts w:eastAsiaTheme="minorHAnsi" w:hint="default"/>
        <w:color w:val="4F141B" w:themeColor="accent2"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454689">
    <w:abstractNumId w:val="19"/>
  </w:num>
  <w:num w:numId="2" w16cid:durableId="536813638">
    <w:abstractNumId w:val="17"/>
  </w:num>
  <w:num w:numId="3" w16cid:durableId="1450737258">
    <w:abstractNumId w:val="4"/>
  </w:num>
  <w:num w:numId="4" w16cid:durableId="1244339999">
    <w:abstractNumId w:val="6"/>
  </w:num>
  <w:num w:numId="5" w16cid:durableId="2115437126">
    <w:abstractNumId w:val="15"/>
  </w:num>
  <w:num w:numId="6" w16cid:durableId="1025058050">
    <w:abstractNumId w:val="2"/>
  </w:num>
  <w:num w:numId="7" w16cid:durableId="2039696088">
    <w:abstractNumId w:val="22"/>
  </w:num>
  <w:num w:numId="8" w16cid:durableId="1931960416">
    <w:abstractNumId w:val="28"/>
  </w:num>
  <w:num w:numId="9" w16cid:durableId="2037460032">
    <w:abstractNumId w:val="3"/>
  </w:num>
  <w:num w:numId="10" w16cid:durableId="104346349">
    <w:abstractNumId w:val="1"/>
  </w:num>
  <w:num w:numId="11" w16cid:durableId="551500367">
    <w:abstractNumId w:val="16"/>
  </w:num>
  <w:num w:numId="12" w16cid:durableId="49764832">
    <w:abstractNumId w:val="21"/>
  </w:num>
  <w:num w:numId="13" w16cid:durableId="1822234807">
    <w:abstractNumId w:val="12"/>
  </w:num>
  <w:num w:numId="14" w16cid:durableId="1760329585">
    <w:abstractNumId w:val="25"/>
  </w:num>
  <w:num w:numId="15" w16cid:durableId="1545143710">
    <w:abstractNumId w:val="9"/>
  </w:num>
  <w:num w:numId="16" w16cid:durableId="1192458083">
    <w:abstractNumId w:val="27"/>
  </w:num>
  <w:num w:numId="17" w16cid:durableId="92553563">
    <w:abstractNumId w:val="24"/>
  </w:num>
  <w:num w:numId="18" w16cid:durableId="1418937467">
    <w:abstractNumId w:val="23"/>
  </w:num>
  <w:num w:numId="19" w16cid:durableId="2128576186">
    <w:abstractNumId w:val="31"/>
  </w:num>
  <w:num w:numId="20" w16cid:durableId="1708722195">
    <w:abstractNumId w:val="8"/>
  </w:num>
  <w:num w:numId="21" w16cid:durableId="1530223173">
    <w:abstractNumId w:val="7"/>
  </w:num>
  <w:num w:numId="22" w16cid:durableId="1770083466">
    <w:abstractNumId w:val="13"/>
  </w:num>
  <w:num w:numId="23" w16cid:durableId="1719739161">
    <w:abstractNumId w:val="26"/>
  </w:num>
  <w:num w:numId="24" w16cid:durableId="485516170">
    <w:abstractNumId w:val="14"/>
  </w:num>
  <w:num w:numId="25" w16cid:durableId="1920212402">
    <w:abstractNumId w:val="10"/>
  </w:num>
  <w:num w:numId="26" w16cid:durableId="874271147">
    <w:abstractNumId w:val="0"/>
  </w:num>
  <w:num w:numId="27" w16cid:durableId="1735272111">
    <w:abstractNumId w:val="18"/>
  </w:num>
  <w:num w:numId="28" w16cid:durableId="1027871988">
    <w:abstractNumId w:val="30"/>
  </w:num>
  <w:num w:numId="29" w16cid:durableId="1233659475">
    <w:abstractNumId w:val="29"/>
  </w:num>
  <w:num w:numId="30" w16cid:durableId="2060086547">
    <w:abstractNumId w:val="20"/>
  </w:num>
  <w:num w:numId="31" w16cid:durableId="906064001">
    <w:abstractNumId w:val="11"/>
  </w:num>
  <w:num w:numId="32" w16cid:durableId="2082096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10E3"/>
    <w:rsid w:val="00001102"/>
    <w:rsid w:val="00001A97"/>
    <w:rsid w:val="0000267A"/>
    <w:rsid w:val="00003FC0"/>
    <w:rsid w:val="00005289"/>
    <w:rsid w:val="00005595"/>
    <w:rsid w:val="00006F3A"/>
    <w:rsid w:val="000120CF"/>
    <w:rsid w:val="00016E2E"/>
    <w:rsid w:val="000216D2"/>
    <w:rsid w:val="000267C9"/>
    <w:rsid w:val="00033F8C"/>
    <w:rsid w:val="000347C0"/>
    <w:rsid w:val="00036B16"/>
    <w:rsid w:val="000406C3"/>
    <w:rsid w:val="000407F9"/>
    <w:rsid w:val="0004118D"/>
    <w:rsid w:val="00045307"/>
    <w:rsid w:val="00045C67"/>
    <w:rsid w:val="0004790E"/>
    <w:rsid w:val="00052030"/>
    <w:rsid w:val="0005430A"/>
    <w:rsid w:val="00060EB4"/>
    <w:rsid w:val="000638F0"/>
    <w:rsid w:val="000649AE"/>
    <w:rsid w:val="00064BAA"/>
    <w:rsid w:val="00071900"/>
    <w:rsid w:val="000751DD"/>
    <w:rsid w:val="00075259"/>
    <w:rsid w:val="0007618E"/>
    <w:rsid w:val="00077F7F"/>
    <w:rsid w:val="00083FDC"/>
    <w:rsid w:val="0008697E"/>
    <w:rsid w:val="00086A3D"/>
    <w:rsid w:val="00086B04"/>
    <w:rsid w:val="0009650F"/>
    <w:rsid w:val="000974FC"/>
    <w:rsid w:val="000A18AB"/>
    <w:rsid w:val="000A33D4"/>
    <w:rsid w:val="000A5B69"/>
    <w:rsid w:val="000B09D5"/>
    <w:rsid w:val="000B4B81"/>
    <w:rsid w:val="000C039D"/>
    <w:rsid w:val="000C2DEC"/>
    <w:rsid w:val="000C6419"/>
    <w:rsid w:val="000C7106"/>
    <w:rsid w:val="000E588E"/>
    <w:rsid w:val="000E5D1D"/>
    <w:rsid w:val="000F288B"/>
    <w:rsid w:val="000F3DEF"/>
    <w:rsid w:val="000F597E"/>
    <w:rsid w:val="00102062"/>
    <w:rsid w:val="001024AF"/>
    <w:rsid w:val="00104624"/>
    <w:rsid w:val="00104755"/>
    <w:rsid w:val="001047F2"/>
    <w:rsid w:val="001053DB"/>
    <w:rsid w:val="0010617B"/>
    <w:rsid w:val="00115E29"/>
    <w:rsid w:val="0011788B"/>
    <w:rsid w:val="0012466F"/>
    <w:rsid w:val="0013414D"/>
    <w:rsid w:val="00135341"/>
    <w:rsid w:val="00135645"/>
    <w:rsid w:val="00135CB3"/>
    <w:rsid w:val="0013799B"/>
    <w:rsid w:val="001410F1"/>
    <w:rsid w:val="001537F5"/>
    <w:rsid w:val="0015459F"/>
    <w:rsid w:val="001565F0"/>
    <w:rsid w:val="0016113B"/>
    <w:rsid w:val="00164846"/>
    <w:rsid w:val="00174428"/>
    <w:rsid w:val="001818EC"/>
    <w:rsid w:val="00184C15"/>
    <w:rsid w:val="00191FE5"/>
    <w:rsid w:val="001937F8"/>
    <w:rsid w:val="00195455"/>
    <w:rsid w:val="001A30A2"/>
    <w:rsid w:val="001A48CA"/>
    <w:rsid w:val="001B5288"/>
    <w:rsid w:val="001B7880"/>
    <w:rsid w:val="001B7EB1"/>
    <w:rsid w:val="001B7F52"/>
    <w:rsid w:val="001C1B39"/>
    <w:rsid w:val="001C2F9C"/>
    <w:rsid w:val="001C3850"/>
    <w:rsid w:val="001C426B"/>
    <w:rsid w:val="001C4E88"/>
    <w:rsid w:val="001C6EBF"/>
    <w:rsid w:val="001C7A62"/>
    <w:rsid w:val="001E3588"/>
    <w:rsid w:val="001E6859"/>
    <w:rsid w:val="001F0210"/>
    <w:rsid w:val="001F2F92"/>
    <w:rsid w:val="001F3B7B"/>
    <w:rsid w:val="001F725D"/>
    <w:rsid w:val="002000CF"/>
    <w:rsid w:val="00202316"/>
    <w:rsid w:val="002055E9"/>
    <w:rsid w:val="00214852"/>
    <w:rsid w:val="00216A70"/>
    <w:rsid w:val="00216ED7"/>
    <w:rsid w:val="002203CF"/>
    <w:rsid w:val="00225216"/>
    <w:rsid w:val="00231991"/>
    <w:rsid w:val="00231CB1"/>
    <w:rsid w:val="00236931"/>
    <w:rsid w:val="00247992"/>
    <w:rsid w:val="002502FE"/>
    <w:rsid w:val="00250555"/>
    <w:rsid w:val="0025057E"/>
    <w:rsid w:val="00252415"/>
    <w:rsid w:val="00253638"/>
    <w:rsid w:val="00260F06"/>
    <w:rsid w:val="00262894"/>
    <w:rsid w:val="00263BD6"/>
    <w:rsid w:val="002650DD"/>
    <w:rsid w:val="00267ACF"/>
    <w:rsid w:val="002703EA"/>
    <w:rsid w:val="00271B6F"/>
    <w:rsid w:val="00276108"/>
    <w:rsid w:val="0027655F"/>
    <w:rsid w:val="002975BB"/>
    <w:rsid w:val="002A2C81"/>
    <w:rsid w:val="002A43CB"/>
    <w:rsid w:val="002B7B29"/>
    <w:rsid w:val="002C1C4C"/>
    <w:rsid w:val="002C5015"/>
    <w:rsid w:val="002C6943"/>
    <w:rsid w:val="002D1C61"/>
    <w:rsid w:val="002D21A8"/>
    <w:rsid w:val="002D38EB"/>
    <w:rsid w:val="002D3C4B"/>
    <w:rsid w:val="002D3D19"/>
    <w:rsid w:val="002D7ACE"/>
    <w:rsid w:val="002E165E"/>
    <w:rsid w:val="002E274C"/>
    <w:rsid w:val="002E31A9"/>
    <w:rsid w:val="002E5545"/>
    <w:rsid w:val="002E6D65"/>
    <w:rsid w:val="002E6DB3"/>
    <w:rsid w:val="002E7F1B"/>
    <w:rsid w:val="002F058B"/>
    <w:rsid w:val="002F1CAD"/>
    <w:rsid w:val="002F391C"/>
    <w:rsid w:val="002F515D"/>
    <w:rsid w:val="002F7715"/>
    <w:rsid w:val="003029AC"/>
    <w:rsid w:val="00304262"/>
    <w:rsid w:val="00307E71"/>
    <w:rsid w:val="003108A0"/>
    <w:rsid w:val="0031109A"/>
    <w:rsid w:val="00320951"/>
    <w:rsid w:val="00320B17"/>
    <w:rsid w:val="00321EC5"/>
    <w:rsid w:val="0032792B"/>
    <w:rsid w:val="003304E4"/>
    <w:rsid w:val="00337F1E"/>
    <w:rsid w:val="00342AF0"/>
    <w:rsid w:val="0034635D"/>
    <w:rsid w:val="00352F30"/>
    <w:rsid w:val="00363717"/>
    <w:rsid w:val="003648E5"/>
    <w:rsid w:val="00370B9F"/>
    <w:rsid w:val="00372BE0"/>
    <w:rsid w:val="00372FCF"/>
    <w:rsid w:val="00373896"/>
    <w:rsid w:val="00374DEC"/>
    <w:rsid w:val="00375E2C"/>
    <w:rsid w:val="00376A0E"/>
    <w:rsid w:val="003836F2"/>
    <w:rsid w:val="00386523"/>
    <w:rsid w:val="00393028"/>
    <w:rsid w:val="00393802"/>
    <w:rsid w:val="003A217F"/>
    <w:rsid w:val="003B1B14"/>
    <w:rsid w:val="003B2C13"/>
    <w:rsid w:val="003B4A4B"/>
    <w:rsid w:val="003B619B"/>
    <w:rsid w:val="003B7620"/>
    <w:rsid w:val="003C03EE"/>
    <w:rsid w:val="003C0D1B"/>
    <w:rsid w:val="003C6458"/>
    <w:rsid w:val="003D145D"/>
    <w:rsid w:val="003D375B"/>
    <w:rsid w:val="003D3D11"/>
    <w:rsid w:val="003D4A91"/>
    <w:rsid w:val="003D61F4"/>
    <w:rsid w:val="003D7054"/>
    <w:rsid w:val="003D7A59"/>
    <w:rsid w:val="003E039E"/>
    <w:rsid w:val="003E7AF5"/>
    <w:rsid w:val="003F251B"/>
    <w:rsid w:val="003F43E9"/>
    <w:rsid w:val="003F4BD7"/>
    <w:rsid w:val="003F7762"/>
    <w:rsid w:val="00406CCB"/>
    <w:rsid w:val="00412F52"/>
    <w:rsid w:val="00413036"/>
    <w:rsid w:val="004140B4"/>
    <w:rsid w:val="004172ED"/>
    <w:rsid w:val="00423D8C"/>
    <w:rsid w:val="00430A7D"/>
    <w:rsid w:val="00433B9C"/>
    <w:rsid w:val="00434247"/>
    <w:rsid w:val="00435E9E"/>
    <w:rsid w:val="00440CEA"/>
    <w:rsid w:val="00445F15"/>
    <w:rsid w:val="004521B7"/>
    <w:rsid w:val="00452DE9"/>
    <w:rsid w:val="00452F0E"/>
    <w:rsid w:val="0045534A"/>
    <w:rsid w:val="00456198"/>
    <w:rsid w:val="00456CE7"/>
    <w:rsid w:val="004629EC"/>
    <w:rsid w:val="00462A3E"/>
    <w:rsid w:val="00463269"/>
    <w:rsid w:val="00464E5D"/>
    <w:rsid w:val="00466A09"/>
    <w:rsid w:val="004704F3"/>
    <w:rsid w:val="00470C18"/>
    <w:rsid w:val="0047112E"/>
    <w:rsid w:val="0048064F"/>
    <w:rsid w:val="004808A5"/>
    <w:rsid w:val="00492559"/>
    <w:rsid w:val="00494D78"/>
    <w:rsid w:val="00496BD6"/>
    <w:rsid w:val="004A17D3"/>
    <w:rsid w:val="004A1F55"/>
    <w:rsid w:val="004A2455"/>
    <w:rsid w:val="004A3BCD"/>
    <w:rsid w:val="004A5DB6"/>
    <w:rsid w:val="004B0A04"/>
    <w:rsid w:val="004B4557"/>
    <w:rsid w:val="004C5214"/>
    <w:rsid w:val="004C5734"/>
    <w:rsid w:val="004C6FD4"/>
    <w:rsid w:val="004D7CB1"/>
    <w:rsid w:val="004E10EB"/>
    <w:rsid w:val="004F0306"/>
    <w:rsid w:val="004F328D"/>
    <w:rsid w:val="004F56F9"/>
    <w:rsid w:val="004F60E7"/>
    <w:rsid w:val="004F6F65"/>
    <w:rsid w:val="005002BF"/>
    <w:rsid w:val="0050042A"/>
    <w:rsid w:val="00500F8C"/>
    <w:rsid w:val="00505D16"/>
    <w:rsid w:val="00506CA4"/>
    <w:rsid w:val="00510AE6"/>
    <w:rsid w:val="00511080"/>
    <w:rsid w:val="00517D0A"/>
    <w:rsid w:val="00522D9D"/>
    <w:rsid w:val="00525199"/>
    <w:rsid w:val="005275B1"/>
    <w:rsid w:val="00527FA3"/>
    <w:rsid w:val="00530782"/>
    <w:rsid w:val="00531F0A"/>
    <w:rsid w:val="00532A9C"/>
    <w:rsid w:val="00541DA6"/>
    <w:rsid w:val="005428F9"/>
    <w:rsid w:val="005430DF"/>
    <w:rsid w:val="00543AE5"/>
    <w:rsid w:val="00552FC6"/>
    <w:rsid w:val="00557A23"/>
    <w:rsid w:val="005618CC"/>
    <w:rsid w:val="00571640"/>
    <w:rsid w:val="00577946"/>
    <w:rsid w:val="0058130F"/>
    <w:rsid w:val="00586D5B"/>
    <w:rsid w:val="005942ED"/>
    <w:rsid w:val="00596310"/>
    <w:rsid w:val="005A5502"/>
    <w:rsid w:val="005B3315"/>
    <w:rsid w:val="005D54FD"/>
    <w:rsid w:val="005D5A8E"/>
    <w:rsid w:val="005E15EF"/>
    <w:rsid w:val="005F0E65"/>
    <w:rsid w:val="005F3C23"/>
    <w:rsid w:val="005F4462"/>
    <w:rsid w:val="005F6C9E"/>
    <w:rsid w:val="00603160"/>
    <w:rsid w:val="00604357"/>
    <w:rsid w:val="006109E3"/>
    <w:rsid w:val="00610B00"/>
    <w:rsid w:val="00621588"/>
    <w:rsid w:val="006230FA"/>
    <w:rsid w:val="00626054"/>
    <w:rsid w:val="0062768F"/>
    <w:rsid w:val="0063072E"/>
    <w:rsid w:val="00634116"/>
    <w:rsid w:val="00640E2F"/>
    <w:rsid w:val="00641F92"/>
    <w:rsid w:val="00651C93"/>
    <w:rsid w:val="00654053"/>
    <w:rsid w:val="006657ED"/>
    <w:rsid w:val="00666779"/>
    <w:rsid w:val="006729BC"/>
    <w:rsid w:val="00676AAB"/>
    <w:rsid w:val="0068427F"/>
    <w:rsid w:val="00686BAA"/>
    <w:rsid w:val="006954EF"/>
    <w:rsid w:val="006A0083"/>
    <w:rsid w:val="006A2C34"/>
    <w:rsid w:val="006A4168"/>
    <w:rsid w:val="006A5DA5"/>
    <w:rsid w:val="006B06F4"/>
    <w:rsid w:val="006B69DA"/>
    <w:rsid w:val="006B73C2"/>
    <w:rsid w:val="006C7136"/>
    <w:rsid w:val="006C74D1"/>
    <w:rsid w:val="006D0026"/>
    <w:rsid w:val="006D05D9"/>
    <w:rsid w:val="006D378F"/>
    <w:rsid w:val="006D6F16"/>
    <w:rsid w:val="006E1CB6"/>
    <w:rsid w:val="006E38F3"/>
    <w:rsid w:val="006E7C42"/>
    <w:rsid w:val="006F1FEA"/>
    <w:rsid w:val="006F3933"/>
    <w:rsid w:val="006F580C"/>
    <w:rsid w:val="007020DC"/>
    <w:rsid w:val="007025BF"/>
    <w:rsid w:val="00707B0E"/>
    <w:rsid w:val="0071483B"/>
    <w:rsid w:val="00716731"/>
    <w:rsid w:val="00722895"/>
    <w:rsid w:val="00741A3A"/>
    <w:rsid w:val="00743204"/>
    <w:rsid w:val="00755A94"/>
    <w:rsid w:val="0076244D"/>
    <w:rsid w:val="007710CB"/>
    <w:rsid w:val="00777277"/>
    <w:rsid w:val="00781B71"/>
    <w:rsid w:val="00783A5F"/>
    <w:rsid w:val="007847DD"/>
    <w:rsid w:val="00787B36"/>
    <w:rsid w:val="00796AE5"/>
    <w:rsid w:val="007A2CC8"/>
    <w:rsid w:val="007A663B"/>
    <w:rsid w:val="007B6F0D"/>
    <w:rsid w:val="007C077E"/>
    <w:rsid w:val="007C08DA"/>
    <w:rsid w:val="007C3F99"/>
    <w:rsid w:val="007C54E1"/>
    <w:rsid w:val="007C5F0B"/>
    <w:rsid w:val="007C7233"/>
    <w:rsid w:val="007C7805"/>
    <w:rsid w:val="007D053B"/>
    <w:rsid w:val="007D198C"/>
    <w:rsid w:val="007D1B38"/>
    <w:rsid w:val="007E125D"/>
    <w:rsid w:val="007E3297"/>
    <w:rsid w:val="007E67F9"/>
    <w:rsid w:val="007F5F42"/>
    <w:rsid w:val="008076EE"/>
    <w:rsid w:val="00810F8E"/>
    <w:rsid w:val="0081109A"/>
    <w:rsid w:val="0081333B"/>
    <w:rsid w:val="00815694"/>
    <w:rsid w:val="008172AF"/>
    <w:rsid w:val="00823423"/>
    <w:rsid w:val="008258D2"/>
    <w:rsid w:val="0083288E"/>
    <w:rsid w:val="00833543"/>
    <w:rsid w:val="008338E2"/>
    <w:rsid w:val="00837403"/>
    <w:rsid w:val="008400B2"/>
    <w:rsid w:val="00846D3D"/>
    <w:rsid w:val="008475EA"/>
    <w:rsid w:val="00847B63"/>
    <w:rsid w:val="008513BE"/>
    <w:rsid w:val="00856098"/>
    <w:rsid w:val="008617DB"/>
    <w:rsid w:val="00862BB4"/>
    <w:rsid w:val="00864629"/>
    <w:rsid w:val="00870CFC"/>
    <w:rsid w:val="00871C66"/>
    <w:rsid w:val="00877831"/>
    <w:rsid w:val="00881BEE"/>
    <w:rsid w:val="008835CC"/>
    <w:rsid w:val="0088573E"/>
    <w:rsid w:val="00893E50"/>
    <w:rsid w:val="00895B58"/>
    <w:rsid w:val="00897CC0"/>
    <w:rsid w:val="008A592B"/>
    <w:rsid w:val="008B278C"/>
    <w:rsid w:val="008B498D"/>
    <w:rsid w:val="008B769D"/>
    <w:rsid w:val="008C1787"/>
    <w:rsid w:val="008C4A56"/>
    <w:rsid w:val="008D034A"/>
    <w:rsid w:val="008E3AAB"/>
    <w:rsid w:val="008E4165"/>
    <w:rsid w:val="008E4A9C"/>
    <w:rsid w:val="008F68DC"/>
    <w:rsid w:val="0090063A"/>
    <w:rsid w:val="00900712"/>
    <w:rsid w:val="00904996"/>
    <w:rsid w:val="00905BAC"/>
    <w:rsid w:val="009102B6"/>
    <w:rsid w:val="00912169"/>
    <w:rsid w:val="00924A82"/>
    <w:rsid w:val="00925F1D"/>
    <w:rsid w:val="00926B2F"/>
    <w:rsid w:val="0093540A"/>
    <w:rsid w:val="00943423"/>
    <w:rsid w:val="009442F5"/>
    <w:rsid w:val="009520A3"/>
    <w:rsid w:val="00956837"/>
    <w:rsid w:val="0096154D"/>
    <w:rsid w:val="00967AFF"/>
    <w:rsid w:val="00974441"/>
    <w:rsid w:val="009748F6"/>
    <w:rsid w:val="009762E5"/>
    <w:rsid w:val="0097799E"/>
    <w:rsid w:val="00984973"/>
    <w:rsid w:val="0098692E"/>
    <w:rsid w:val="0098768E"/>
    <w:rsid w:val="0099665B"/>
    <w:rsid w:val="009A6D6D"/>
    <w:rsid w:val="009B3B1D"/>
    <w:rsid w:val="009B6293"/>
    <w:rsid w:val="009B7331"/>
    <w:rsid w:val="009B7424"/>
    <w:rsid w:val="009C1FDD"/>
    <w:rsid w:val="009C2C13"/>
    <w:rsid w:val="009C43F2"/>
    <w:rsid w:val="009C6767"/>
    <w:rsid w:val="009C77A7"/>
    <w:rsid w:val="009D111A"/>
    <w:rsid w:val="009D439E"/>
    <w:rsid w:val="009D65A9"/>
    <w:rsid w:val="009D7666"/>
    <w:rsid w:val="009E301D"/>
    <w:rsid w:val="009E35EF"/>
    <w:rsid w:val="009E361D"/>
    <w:rsid w:val="009E3622"/>
    <w:rsid w:val="009F1894"/>
    <w:rsid w:val="009F3DC6"/>
    <w:rsid w:val="00A00E1B"/>
    <w:rsid w:val="00A01CFC"/>
    <w:rsid w:val="00A03348"/>
    <w:rsid w:val="00A149AE"/>
    <w:rsid w:val="00A1510A"/>
    <w:rsid w:val="00A25321"/>
    <w:rsid w:val="00A275F6"/>
    <w:rsid w:val="00A318A0"/>
    <w:rsid w:val="00A437A7"/>
    <w:rsid w:val="00A46056"/>
    <w:rsid w:val="00A549DE"/>
    <w:rsid w:val="00A57607"/>
    <w:rsid w:val="00A616E6"/>
    <w:rsid w:val="00A70E0B"/>
    <w:rsid w:val="00A73C71"/>
    <w:rsid w:val="00A74737"/>
    <w:rsid w:val="00A76AAB"/>
    <w:rsid w:val="00A802B5"/>
    <w:rsid w:val="00A82ADA"/>
    <w:rsid w:val="00A85700"/>
    <w:rsid w:val="00A867AB"/>
    <w:rsid w:val="00A91B83"/>
    <w:rsid w:val="00A91DFB"/>
    <w:rsid w:val="00A956CE"/>
    <w:rsid w:val="00A97C61"/>
    <w:rsid w:val="00AA70FA"/>
    <w:rsid w:val="00AB1D5E"/>
    <w:rsid w:val="00AB21D2"/>
    <w:rsid w:val="00AB3FC7"/>
    <w:rsid w:val="00AB4C52"/>
    <w:rsid w:val="00AC5E70"/>
    <w:rsid w:val="00AD1B80"/>
    <w:rsid w:val="00AD67A5"/>
    <w:rsid w:val="00AF0A67"/>
    <w:rsid w:val="00AF669A"/>
    <w:rsid w:val="00B0062D"/>
    <w:rsid w:val="00B0226A"/>
    <w:rsid w:val="00B031E3"/>
    <w:rsid w:val="00B03718"/>
    <w:rsid w:val="00B05117"/>
    <w:rsid w:val="00B109B9"/>
    <w:rsid w:val="00B13410"/>
    <w:rsid w:val="00B16A31"/>
    <w:rsid w:val="00B21BFF"/>
    <w:rsid w:val="00B22FEC"/>
    <w:rsid w:val="00B23A29"/>
    <w:rsid w:val="00B27CDF"/>
    <w:rsid w:val="00B31E8A"/>
    <w:rsid w:val="00B3637C"/>
    <w:rsid w:val="00B37BF3"/>
    <w:rsid w:val="00B41340"/>
    <w:rsid w:val="00B453DE"/>
    <w:rsid w:val="00B469C1"/>
    <w:rsid w:val="00B475D9"/>
    <w:rsid w:val="00B5003E"/>
    <w:rsid w:val="00B50A1A"/>
    <w:rsid w:val="00B5147A"/>
    <w:rsid w:val="00B5242E"/>
    <w:rsid w:val="00B6557C"/>
    <w:rsid w:val="00B759D2"/>
    <w:rsid w:val="00B77A42"/>
    <w:rsid w:val="00B806D8"/>
    <w:rsid w:val="00B80ADD"/>
    <w:rsid w:val="00B823F7"/>
    <w:rsid w:val="00B82BE9"/>
    <w:rsid w:val="00B8528F"/>
    <w:rsid w:val="00B874EA"/>
    <w:rsid w:val="00B90C76"/>
    <w:rsid w:val="00B90FAE"/>
    <w:rsid w:val="00B921F5"/>
    <w:rsid w:val="00B92618"/>
    <w:rsid w:val="00B949F9"/>
    <w:rsid w:val="00B965D8"/>
    <w:rsid w:val="00B971AD"/>
    <w:rsid w:val="00BA02A3"/>
    <w:rsid w:val="00BA3CB8"/>
    <w:rsid w:val="00BA4414"/>
    <w:rsid w:val="00BA4A02"/>
    <w:rsid w:val="00BA53B8"/>
    <w:rsid w:val="00BA5D48"/>
    <w:rsid w:val="00BC363F"/>
    <w:rsid w:val="00BC57B2"/>
    <w:rsid w:val="00BC6FCE"/>
    <w:rsid w:val="00BD26C4"/>
    <w:rsid w:val="00BD5C19"/>
    <w:rsid w:val="00BE1E14"/>
    <w:rsid w:val="00BE694D"/>
    <w:rsid w:val="00BF19AC"/>
    <w:rsid w:val="00BF5CCC"/>
    <w:rsid w:val="00BF75ED"/>
    <w:rsid w:val="00C043F5"/>
    <w:rsid w:val="00C046AF"/>
    <w:rsid w:val="00C04870"/>
    <w:rsid w:val="00C04E7B"/>
    <w:rsid w:val="00C13E28"/>
    <w:rsid w:val="00C150B8"/>
    <w:rsid w:val="00C16C87"/>
    <w:rsid w:val="00C20C8B"/>
    <w:rsid w:val="00C224B8"/>
    <w:rsid w:val="00C337A2"/>
    <w:rsid w:val="00C352E9"/>
    <w:rsid w:val="00C35EEA"/>
    <w:rsid w:val="00C361E2"/>
    <w:rsid w:val="00C40C50"/>
    <w:rsid w:val="00C41C57"/>
    <w:rsid w:val="00C45795"/>
    <w:rsid w:val="00C462B9"/>
    <w:rsid w:val="00C514DA"/>
    <w:rsid w:val="00C53BFD"/>
    <w:rsid w:val="00C63BD2"/>
    <w:rsid w:val="00C666DC"/>
    <w:rsid w:val="00C75897"/>
    <w:rsid w:val="00C83A02"/>
    <w:rsid w:val="00C8577B"/>
    <w:rsid w:val="00C8645C"/>
    <w:rsid w:val="00C87DE8"/>
    <w:rsid w:val="00C9184A"/>
    <w:rsid w:val="00C929F9"/>
    <w:rsid w:val="00C93EC2"/>
    <w:rsid w:val="00C9513E"/>
    <w:rsid w:val="00C96F6F"/>
    <w:rsid w:val="00CA5F16"/>
    <w:rsid w:val="00CA7C36"/>
    <w:rsid w:val="00CB2707"/>
    <w:rsid w:val="00CB55F7"/>
    <w:rsid w:val="00CC0E3F"/>
    <w:rsid w:val="00CC236B"/>
    <w:rsid w:val="00CC4665"/>
    <w:rsid w:val="00CC7BEF"/>
    <w:rsid w:val="00CD44DE"/>
    <w:rsid w:val="00CD4A4D"/>
    <w:rsid w:val="00CE4CBC"/>
    <w:rsid w:val="00CE4FA2"/>
    <w:rsid w:val="00CE63F0"/>
    <w:rsid w:val="00CE6D75"/>
    <w:rsid w:val="00CF0926"/>
    <w:rsid w:val="00CF0EC1"/>
    <w:rsid w:val="00CF3DE8"/>
    <w:rsid w:val="00CF48F1"/>
    <w:rsid w:val="00CF4DE0"/>
    <w:rsid w:val="00D006C7"/>
    <w:rsid w:val="00D0403E"/>
    <w:rsid w:val="00D06508"/>
    <w:rsid w:val="00D10838"/>
    <w:rsid w:val="00D13700"/>
    <w:rsid w:val="00D148BD"/>
    <w:rsid w:val="00D21965"/>
    <w:rsid w:val="00D23194"/>
    <w:rsid w:val="00D23AEE"/>
    <w:rsid w:val="00D25A88"/>
    <w:rsid w:val="00D25CD1"/>
    <w:rsid w:val="00D27B89"/>
    <w:rsid w:val="00D342AE"/>
    <w:rsid w:val="00D366A5"/>
    <w:rsid w:val="00D40D7B"/>
    <w:rsid w:val="00D412E1"/>
    <w:rsid w:val="00D416CD"/>
    <w:rsid w:val="00D4342A"/>
    <w:rsid w:val="00D44905"/>
    <w:rsid w:val="00D469BA"/>
    <w:rsid w:val="00D46C35"/>
    <w:rsid w:val="00D47A2D"/>
    <w:rsid w:val="00D50EE9"/>
    <w:rsid w:val="00D51C23"/>
    <w:rsid w:val="00D5284C"/>
    <w:rsid w:val="00D56039"/>
    <w:rsid w:val="00D57726"/>
    <w:rsid w:val="00D61CDD"/>
    <w:rsid w:val="00D62A6F"/>
    <w:rsid w:val="00D66621"/>
    <w:rsid w:val="00D67531"/>
    <w:rsid w:val="00D754AD"/>
    <w:rsid w:val="00D77F7C"/>
    <w:rsid w:val="00D83342"/>
    <w:rsid w:val="00D90376"/>
    <w:rsid w:val="00D919B4"/>
    <w:rsid w:val="00D9293E"/>
    <w:rsid w:val="00D96175"/>
    <w:rsid w:val="00DA1E57"/>
    <w:rsid w:val="00DC068D"/>
    <w:rsid w:val="00DC2C2E"/>
    <w:rsid w:val="00DC3A3F"/>
    <w:rsid w:val="00DC644E"/>
    <w:rsid w:val="00DD5A77"/>
    <w:rsid w:val="00DD602C"/>
    <w:rsid w:val="00DE3BD6"/>
    <w:rsid w:val="00DE629D"/>
    <w:rsid w:val="00DE750C"/>
    <w:rsid w:val="00DF2F27"/>
    <w:rsid w:val="00E04103"/>
    <w:rsid w:val="00E119F5"/>
    <w:rsid w:val="00E20BA6"/>
    <w:rsid w:val="00E275E3"/>
    <w:rsid w:val="00E27F8F"/>
    <w:rsid w:val="00E3195C"/>
    <w:rsid w:val="00E35D42"/>
    <w:rsid w:val="00E40A57"/>
    <w:rsid w:val="00E418BD"/>
    <w:rsid w:val="00E41A88"/>
    <w:rsid w:val="00E44D0D"/>
    <w:rsid w:val="00E45B67"/>
    <w:rsid w:val="00E6019B"/>
    <w:rsid w:val="00E60842"/>
    <w:rsid w:val="00E62D18"/>
    <w:rsid w:val="00E63C8C"/>
    <w:rsid w:val="00E64672"/>
    <w:rsid w:val="00E64CC0"/>
    <w:rsid w:val="00E65B8D"/>
    <w:rsid w:val="00E70417"/>
    <w:rsid w:val="00E87C4F"/>
    <w:rsid w:val="00E91C3C"/>
    <w:rsid w:val="00E92C4D"/>
    <w:rsid w:val="00E93CFD"/>
    <w:rsid w:val="00EA0FFC"/>
    <w:rsid w:val="00EA2573"/>
    <w:rsid w:val="00EA2D8A"/>
    <w:rsid w:val="00EA7354"/>
    <w:rsid w:val="00EA7AC2"/>
    <w:rsid w:val="00EB54CD"/>
    <w:rsid w:val="00EB71D6"/>
    <w:rsid w:val="00EC2578"/>
    <w:rsid w:val="00ED0BE8"/>
    <w:rsid w:val="00ED220F"/>
    <w:rsid w:val="00ED6228"/>
    <w:rsid w:val="00ED732D"/>
    <w:rsid w:val="00ED7E18"/>
    <w:rsid w:val="00EE2082"/>
    <w:rsid w:val="00EE35DF"/>
    <w:rsid w:val="00EE4484"/>
    <w:rsid w:val="00EE4DAD"/>
    <w:rsid w:val="00EF493B"/>
    <w:rsid w:val="00EF6FE5"/>
    <w:rsid w:val="00F00550"/>
    <w:rsid w:val="00F01B0F"/>
    <w:rsid w:val="00F0289A"/>
    <w:rsid w:val="00F15D36"/>
    <w:rsid w:val="00F2401F"/>
    <w:rsid w:val="00F41408"/>
    <w:rsid w:val="00F427DE"/>
    <w:rsid w:val="00F45C4D"/>
    <w:rsid w:val="00F462A2"/>
    <w:rsid w:val="00F6290F"/>
    <w:rsid w:val="00F72A72"/>
    <w:rsid w:val="00F72E9D"/>
    <w:rsid w:val="00F72F43"/>
    <w:rsid w:val="00F81A70"/>
    <w:rsid w:val="00F873C0"/>
    <w:rsid w:val="00F901C3"/>
    <w:rsid w:val="00F9666F"/>
    <w:rsid w:val="00F96B09"/>
    <w:rsid w:val="00FA21A7"/>
    <w:rsid w:val="00FA3ABD"/>
    <w:rsid w:val="00FB58A4"/>
    <w:rsid w:val="00FB6CC1"/>
    <w:rsid w:val="00FC40EF"/>
    <w:rsid w:val="00FC5534"/>
    <w:rsid w:val="00FC5666"/>
    <w:rsid w:val="00FC5797"/>
    <w:rsid w:val="00FC7274"/>
    <w:rsid w:val="00FD2FB2"/>
    <w:rsid w:val="00FD4473"/>
    <w:rsid w:val="00FD5D79"/>
    <w:rsid w:val="00FE17C4"/>
    <w:rsid w:val="00FE34BB"/>
    <w:rsid w:val="00FE7E44"/>
    <w:rsid w:val="00FF2B00"/>
    <w:rsid w:val="00FF5A37"/>
    <w:rsid w:val="00FF6762"/>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9BCAEC8"/>
  <w15:docId w15:val="{08B5D563-6D6A-4232-AD0C-3E0F1FFB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1A9"/>
    <w:pPr>
      <w:ind w:left="720"/>
      <w:contextualSpacing/>
    </w:pPr>
  </w:style>
  <w:style w:type="paragraph" w:customStyle="1" w:styleId="Default">
    <w:name w:val="Default"/>
    <w:rsid w:val="00A5760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CF3DE8"/>
    <w:pPr>
      <w:spacing w:after="0" w:line="240" w:lineRule="auto"/>
    </w:pPr>
    <w:rPr>
      <w:sz w:val="20"/>
      <w:szCs w:val="20"/>
    </w:rPr>
  </w:style>
  <w:style w:type="character" w:customStyle="1" w:styleId="FootnoteTextChar">
    <w:name w:val="Footnote Text Char"/>
    <w:basedOn w:val="DefaultParagraphFont"/>
    <w:link w:val="FootnoteText"/>
    <w:uiPriority w:val="99"/>
    <w:rsid w:val="00CF3DE8"/>
    <w:rPr>
      <w:sz w:val="20"/>
      <w:szCs w:val="20"/>
    </w:rPr>
  </w:style>
  <w:style w:type="character" w:styleId="FootnoteReference">
    <w:name w:val="footnote reference"/>
    <w:basedOn w:val="DefaultParagraphFont"/>
    <w:uiPriority w:val="99"/>
    <w:semiHidden/>
    <w:unhideWhenUsed/>
    <w:rsid w:val="00CF3DE8"/>
    <w:rPr>
      <w:vertAlign w:val="superscript"/>
    </w:rPr>
  </w:style>
  <w:style w:type="paragraph" w:styleId="Header">
    <w:name w:val="header"/>
    <w:basedOn w:val="Normal"/>
    <w:link w:val="HeaderChar"/>
    <w:uiPriority w:val="99"/>
    <w:unhideWhenUsed/>
    <w:rsid w:val="000C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106"/>
  </w:style>
  <w:style w:type="paragraph" w:styleId="Footer">
    <w:name w:val="footer"/>
    <w:basedOn w:val="Normal"/>
    <w:link w:val="FooterChar"/>
    <w:uiPriority w:val="99"/>
    <w:unhideWhenUsed/>
    <w:rsid w:val="000C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106"/>
  </w:style>
  <w:style w:type="character" w:styleId="Hyperlink">
    <w:name w:val="Hyperlink"/>
    <w:basedOn w:val="DefaultParagraphFont"/>
    <w:uiPriority w:val="99"/>
    <w:unhideWhenUsed/>
    <w:rsid w:val="00DF2F27"/>
    <w:rPr>
      <w:color w:val="6B9F25" w:themeColor="hyperlink"/>
      <w:u w:val="single"/>
    </w:rPr>
  </w:style>
  <w:style w:type="paragraph" w:styleId="BalloonText">
    <w:name w:val="Balloon Text"/>
    <w:basedOn w:val="Normal"/>
    <w:link w:val="BalloonTextChar"/>
    <w:uiPriority w:val="99"/>
    <w:semiHidden/>
    <w:unhideWhenUsed/>
    <w:rsid w:val="00B77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A42"/>
    <w:rPr>
      <w:rFonts w:ascii="Segoe UI" w:hAnsi="Segoe UI" w:cs="Segoe UI"/>
      <w:sz w:val="18"/>
      <w:szCs w:val="18"/>
    </w:rPr>
  </w:style>
  <w:style w:type="paragraph" w:customStyle="1" w:styleId="Header1">
    <w:name w:val="Header1"/>
    <w:basedOn w:val="Normal"/>
    <w:qFormat/>
    <w:rsid w:val="00262894"/>
    <w:pPr>
      <w:widowControl w:val="0"/>
      <w:suppressAutoHyphens/>
      <w:autoSpaceDE w:val="0"/>
      <w:autoSpaceDN w:val="0"/>
      <w:adjustRightInd w:val="0"/>
      <w:spacing w:before="120" w:after="120" w:line="360" w:lineRule="auto"/>
      <w:ind w:right="-162"/>
      <w:textAlignment w:val="center"/>
    </w:pPr>
    <w:rPr>
      <w:rFonts w:ascii="Arial" w:eastAsiaTheme="minorEastAsia" w:hAnsi="Arial" w:cs="Calibri"/>
      <w:b/>
      <w:caps/>
      <w:color w:val="877952" w:themeColor="background2" w:themeShade="80"/>
      <w:spacing w:val="7"/>
      <w:sz w:val="32"/>
      <w:szCs w:val="32"/>
    </w:rPr>
  </w:style>
  <w:style w:type="character" w:styleId="UnresolvedMention">
    <w:name w:val="Unresolved Mention"/>
    <w:basedOn w:val="DefaultParagraphFont"/>
    <w:uiPriority w:val="99"/>
    <w:semiHidden/>
    <w:unhideWhenUsed/>
    <w:rsid w:val="00B23A29"/>
    <w:rPr>
      <w:color w:val="605E5C"/>
      <w:shd w:val="clear" w:color="auto" w:fill="E1DFDD"/>
    </w:rPr>
  </w:style>
  <w:style w:type="paragraph" w:styleId="Revision">
    <w:name w:val="Revision"/>
    <w:hidden/>
    <w:uiPriority w:val="99"/>
    <w:semiHidden/>
    <w:rsid w:val="00815694"/>
    <w:pPr>
      <w:spacing w:after="0" w:line="240" w:lineRule="auto"/>
    </w:pPr>
  </w:style>
  <w:style w:type="character" w:styleId="CommentReference">
    <w:name w:val="annotation reference"/>
    <w:basedOn w:val="DefaultParagraphFont"/>
    <w:uiPriority w:val="99"/>
    <w:semiHidden/>
    <w:unhideWhenUsed/>
    <w:rsid w:val="00F15D36"/>
    <w:rPr>
      <w:sz w:val="16"/>
      <w:szCs w:val="16"/>
    </w:rPr>
  </w:style>
  <w:style w:type="paragraph" w:styleId="CommentText">
    <w:name w:val="annotation text"/>
    <w:basedOn w:val="Normal"/>
    <w:link w:val="CommentTextChar"/>
    <w:uiPriority w:val="99"/>
    <w:unhideWhenUsed/>
    <w:rsid w:val="00F15D36"/>
    <w:pPr>
      <w:spacing w:line="240" w:lineRule="auto"/>
    </w:pPr>
    <w:rPr>
      <w:sz w:val="20"/>
      <w:szCs w:val="20"/>
    </w:rPr>
  </w:style>
  <w:style w:type="character" w:customStyle="1" w:styleId="CommentTextChar">
    <w:name w:val="Comment Text Char"/>
    <w:basedOn w:val="DefaultParagraphFont"/>
    <w:link w:val="CommentText"/>
    <w:uiPriority w:val="99"/>
    <w:rsid w:val="00F15D36"/>
    <w:rPr>
      <w:sz w:val="20"/>
      <w:szCs w:val="20"/>
    </w:rPr>
  </w:style>
  <w:style w:type="paragraph" w:styleId="CommentSubject">
    <w:name w:val="annotation subject"/>
    <w:basedOn w:val="CommentText"/>
    <w:next w:val="CommentText"/>
    <w:link w:val="CommentSubjectChar"/>
    <w:uiPriority w:val="99"/>
    <w:semiHidden/>
    <w:unhideWhenUsed/>
    <w:rsid w:val="00F15D36"/>
    <w:rPr>
      <w:b/>
      <w:bCs/>
    </w:rPr>
  </w:style>
  <w:style w:type="character" w:customStyle="1" w:styleId="CommentSubjectChar">
    <w:name w:val="Comment Subject Char"/>
    <w:basedOn w:val="CommentTextChar"/>
    <w:link w:val="CommentSubject"/>
    <w:uiPriority w:val="99"/>
    <w:semiHidden/>
    <w:rsid w:val="00F15D36"/>
    <w:rPr>
      <w:b/>
      <w:bCs/>
      <w:sz w:val="20"/>
      <w:szCs w:val="20"/>
    </w:rPr>
  </w:style>
  <w:style w:type="character" w:styleId="FollowedHyperlink">
    <w:name w:val="FollowedHyperlink"/>
    <w:basedOn w:val="DefaultParagraphFont"/>
    <w:uiPriority w:val="99"/>
    <w:semiHidden/>
    <w:unhideWhenUsed/>
    <w:rsid w:val="00A97C61"/>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163">
      <w:bodyDiv w:val="1"/>
      <w:marLeft w:val="0"/>
      <w:marRight w:val="0"/>
      <w:marTop w:val="0"/>
      <w:marBottom w:val="0"/>
      <w:divBdr>
        <w:top w:val="none" w:sz="0" w:space="0" w:color="auto"/>
        <w:left w:val="none" w:sz="0" w:space="0" w:color="auto"/>
        <w:bottom w:val="none" w:sz="0" w:space="0" w:color="auto"/>
        <w:right w:val="none" w:sz="0" w:space="0" w:color="auto"/>
      </w:divBdr>
    </w:div>
    <w:div w:id="369303821">
      <w:bodyDiv w:val="1"/>
      <w:marLeft w:val="0"/>
      <w:marRight w:val="0"/>
      <w:marTop w:val="0"/>
      <w:marBottom w:val="0"/>
      <w:divBdr>
        <w:top w:val="none" w:sz="0" w:space="0" w:color="auto"/>
        <w:left w:val="none" w:sz="0" w:space="0" w:color="auto"/>
        <w:bottom w:val="none" w:sz="0" w:space="0" w:color="auto"/>
        <w:right w:val="none" w:sz="0" w:space="0" w:color="auto"/>
      </w:divBdr>
    </w:div>
    <w:div w:id="206146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ba.org/docs/default-source/cmf-policy/davis-bacon-final-rule-analysis-8.2023.pdf?sfvrsn=38255b3b_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5099C8C3D924BA841AA18CBA521CF" ma:contentTypeVersion="6" ma:contentTypeDescription="Create a new document." ma:contentTypeScope="" ma:versionID="8c7362b3fd08e0e96e1605b4ee9228b1">
  <xsd:schema xmlns:xsd="http://www.w3.org/2001/XMLSchema" xmlns:xs="http://www.w3.org/2001/XMLSchema" xmlns:p="http://schemas.microsoft.com/office/2006/metadata/properties" xmlns:ns1="http://schemas.microsoft.com/sharepoint/v3" xmlns:ns2="8a14ce01-f618-4bf8-b71f-a5e65d5fc4eb" xmlns:ns3="0419db9d-0cb8-44fb-b31a-852d6d3b1306" targetNamespace="http://schemas.microsoft.com/office/2006/metadata/properties" ma:root="true" ma:fieldsID="0db8af2fe7bcaba83658e34e21f98e6d" ns1:_="" ns2:_="" ns3:_="">
    <xsd:import namespace="http://schemas.microsoft.com/sharepoint/v3"/>
    <xsd:import namespace="8a14ce01-f618-4bf8-b71f-a5e65d5fc4eb"/>
    <xsd:import namespace="0419db9d-0cb8-44fb-b31a-852d6d3b13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4ce01-f618-4bf8-b71f-a5e65d5fc4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19db9d-0cb8-44fb-b31a-852d6d3b13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a14ce01-f618-4bf8-b71f-a5e65d5fc4eb">JS5JZ62SAXV6-2076020823-45793</_dlc_DocId>
    <_dlc_DocIdUrl xmlns="8a14ce01-f618-4bf8-b71f-a5e65d5fc4eb">
      <Url>https://mortgagebankersassociation.sharepoint.com/sites/Q Drive/_layouts/15/DocIdRedir.aspx?ID=JS5JZ62SAXV6-2076020823-45793</Url>
      <Description>JS5JZ62SAXV6-2076020823-45793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42A0-717C-429B-B394-44FC7624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14ce01-f618-4bf8-b71f-a5e65d5fc4eb"/>
    <ds:schemaRef ds:uri="0419db9d-0cb8-44fb-b31a-852d6d3b1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92896-8D49-43E2-8738-ADD4AA9F4ED3}">
  <ds:schemaRefs>
    <ds:schemaRef ds:uri="http://schemas.microsoft.com/office/2006/metadata/properties"/>
    <ds:schemaRef ds:uri="http://schemas.microsoft.com/office/infopath/2007/PartnerControls"/>
    <ds:schemaRef ds:uri="http://schemas.microsoft.com/sharepoint/v3"/>
    <ds:schemaRef ds:uri="8a14ce01-f618-4bf8-b71f-a5e65d5fc4eb"/>
  </ds:schemaRefs>
</ds:datastoreItem>
</file>

<file path=customXml/itemProps3.xml><?xml version="1.0" encoding="utf-8"?>
<ds:datastoreItem xmlns:ds="http://schemas.openxmlformats.org/officeDocument/2006/customXml" ds:itemID="{2668837F-2FC8-47CA-BB4A-8E7C780B339F}">
  <ds:schemaRefs>
    <ds:schemaRef ds:uri="http://schemas.microsoft.com/sharepoint/v3/contenttype/forms"/>
  </ds:schemaRefs>
</ds:datastoreItem>
</file>

<file path=customXml/itemProps4.xml><?xml version="1.0" encoding="utf-8"?>
<ds:datastoreItem xmlns:ds="http://schemas.openxmlformats.org/officeDocument/2006/customXml" ds:itemID="{D9C318FF-129D-483C-88DB-E6EFDBD7487D}">
  <ds:schemaRefs>
    <ds:schemaRef ds:uri="http://schemas.microsoft.com/sharepoint/events"/>
  </ds:schemaRefs>
</ds:datastoreItem>
</file>

<file path=customXml/itemProps5.xml><?xml version="1.0" encoding="utf-8"?>
<ds:datastoreItem xmlns:ds="http://schemas.openxmlformats.org/officeDocument/2006/customXml" ds:itemID="{3586F3C7-7888-4682-9A28-5A4D9F15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Mortgage Bankers Association</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Dickemann, Mark</dc:creator>
  <cp:keywords/>
  <dc:description/>
  <cp:lastModifiedBy>Megan Booth</cp:lastModifiedBy>
  <cp:revision>2</cp:revision>
  <cp:lastPrinted>2020-03-09T20:29:00Z</cp:lastPrinted>
  <dcterms:created xsi:type="dcterms:W3CDTF">2025-01-22T20:05:00Z</dcterms:created>
  <dcterms:modified xsi:type="dcterms:W3CDTF">2025-01-22T20:05:00Z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0x0101001575099C8C3D924BA841AA18CBA521CF</vt:lpwstr>
  </property>
  <property fmtid="{D5CDD505-2E9C-101B-9397-08002B2CF9AE}" pid="3" name="Order">
    <vt:r8>1238400</vt:r8>
  </property>
  <property fmtid="{D5CDD505-2E9C-101B-9397-08002B2CF9AE}" pid="4" name="_dlc_DocIdItemGuid">
    <vt:lpwstr>d71faad3-bd2b-499b-ba2f-492734eec7c5</vt:lpwstr>
  </property>
</Properties>
</file>